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5" w:rsidRPr="00944E65" w:rsidRDefault="00944E65" w:rsidP="00944E6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4E65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PAGRINDINĖ MOKYKLA</w:t>
      </w:r>
    </w:p>
    <w:p w:rsidR="00944E65" w:rsidRPr="008949B5" w:rsidRDefault="00944E65" w:rsidP="00944E6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949B5"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8949B5" w:rsidRPr="008949B5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Pr="008949B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VEIKLOS KOKYBĖS ĮSIVERTINIMO ATASKAITA</w:t>
      </w:r>
    </w:p>
    <w:p w:rsidR="00016AB1" w:rsidRDefault="00944E65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8949B5">
        <w:rPr>
          <w:rFonts w:ascii="Times New Roman" w:hAnsi="Times New Roman" w:cs="Times New Roman"/>
          <w:sz w:val="24"/>
          <w:szCs w:val="24"/>
          <w:lang w:val="lt-LT"/>
        </w:rPr>
        <w:t>Mokyklos  202</w:t>
      </w:r>
      <w:r w:rsidR="008949B5" w:rsidRPr="008949B5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8949B5">
        <w:rPr>
          <w:rFonts w:ascii="Times New Roman" w:hAnsi="Times New Roman" w:cs="Times New Roman"/>
          <w:sz w:val="24"/>
          <w:szCs w:val="24"/>
          <w:lang w:val="lt-LT"/>
        </w:rPr>
        <w:t xml:space="preserve"> metų įsivertinimą atliko direktoriaus 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434D3" w:rsidRPr="001434D3">
        <w:rPr>
          <w:rFonts w:ascii="Times New Roman" w:hAnsi="Times New Roman" w:cs="Times New Roman"/>
          <w:sz w:val="24"/>
          <w:szCs w:val="24"/>
          <w:lang w:val="lt-LT"/>
        </w:rPr>
        <w:t>024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1434D3" w:rsidRPr="001434D3">
        <w:rPr>
          <w:rFonts w:ascii="Times New Roman" w:hAnsi="Times New Roman" w:cs="Times New Roman"/>
          <w:sz w:val="24"/>
          <w:szCs w:val="24"/>
          <w:lang w:val="lt-LT"/>
        </w:rPr>
        <w:t>sausio 18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434D3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. įsakymu </w:t>
      </w:r>
      <w:proofErr w:type="spellStart"/>
      <w:r w:rsidRPr="001434D3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711DCC">
        <w:rPr>
          <w:rFonts w:ascii="Times New Roman" w:hAnsi="Times New Roman" w:cs="Times New Roman"/>
          <w:sz w:val="24"/>
          <w:szCs w:val="24"/>
          <w:lang w:val="lt-LT"/>
        </w:rPr>
        <w:t>V1-</w:t>
      </w:r>
      <w:r w:rsidR="001434D3" w:rsidRPr="00711DCC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11DCC">
        <w:rPr>
          <w:rFonts w:ascii="Times New Roman" w:hAnsi="Times New Roman" w:cs="Times New Roman"/>
          <w:sz w:val="24"/>
          <w:szCs w:val="24"/>
          <w:lang w:val="lt-LT"/>
        </w:rPr>
        <w:t xml:space="preserve">  „Dėl </w:t>
      </w:r>
      <w:r w:rsidR="00DD3728" w:rsidRPr="00711DCC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711DCC">
        <w:rPr>
          <w:rFonts w:ascii="Times New Roman" w:hAnsi="Times New Roman" w:cs="Times New Roman"/>
          <w:sz w:val="24"/>
          <w:szCs w:val="24"/>
          <w:lang w:val="lt-LT"/>
        </w:rPr>
        <w:t>. veiklos kokybės įsivertinimo</w:t>
      </w:r>
      <w:r w:rsidR="00DD3728" w:rsidRPr="00711DCC">
        <w:rPr>
          <w:rFonts w:ascii="Times New Roman" w:hAnsi="Times New Roman" w:cs="Times New Roman"/>
          <w:sz w:val="24"/>
          <w:szCs w:val="24"/>
          <w:lang w:val="lt-LT"/>
        </w:rPr>
        <w:t xml:space="preserve"> darbo grupės sudarymo</w:t>
      </w:r>
      <w:r w:rsidRPr="00711DCC">
        <w:rPr>
          <w:rFonts w:ascii="Times New Roman" w:hAnsi="Times New Roman" w:cs="Times New Roman"/>
          <w:sz w:val="24"/>
          <w:szCs w:val="24"/>
          <w:lang w:val="lt-LT"/>
        </w:rPr>
        <w:t xml:space="preserve">“ paskirta darbo </w:t>
      </w:r>
      <w:r>
        <w:rPr>
          <w:rFonts w:ascii="Times New Roman" w:hAnsi="Times New Roman" w:cs="Times New Roman"/>
          <w:sz w:val="24"/>
          <w:szCs w:val="24"/>
          <w:lang w:val="lt-LT"/>
        </w:rPr>
        <w:t>grupė:</w:t>
      </w:r>
    </w:p>
    <w:p w:rsidR="00016AB1" w:rsidRDefault="00944E65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016AB1"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016AB1"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 – istorijos </w:t>
      </w:r>
      <w:proofErr w:type="spellStart"/>
      <w:r w:rsidR="00016AB1">
        <w:rPr>
          <w:rFonts w:ascii="Times New Roman" w:hAnsi="Times New Roman" w:cs="Times New Roman"/>
          <w:sz w:val="24"/>
          <w:szCs w:val="24"/>
          <w:lang w:val="lt-LT"/>
        </w:rPr>
        <w:t>vyresn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. mokytoja ir pradinių </w:t>
      </w:r>
      <w:proofErr w:type="spellStart"/>
      <w:r w:rsidR="00016AB1">
        <w:rPr>
          <w:rFonts w:ascii="Times New Roman" w:hAnsi="Times New Roman" w:cs="Times New Roman"/>
          <w:sz w:val="24"/>
          <w:szCs w:val="24"/>
          <w:lang w:val="lt-LT"/>
        </w:rPr>
        <w:t>kl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. mokytoja, </w:t>
      </w:r>
      <w:r w:rsidR="00A14E4A">
        <w:rPr>
          <w:rFonts w:ascii="Times New Roman" w:hAnsi="Times New Roman" w:cs="Times New Roman"/>
          <w:sz w:val="24"/>
          <w:szCs w:val="24"/>
          <w:lang w:val="lt-LT"/>
        </w:rPr>
        <w:t>grupės vadovė;</w:t>
      </w:r>
    </w:p>
    <w:p w:rsidR="00016AB1" w:rsidRDefault="00944E65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Palcevienė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 – anglų kalbos </w:t>
      </w:r>
      <w:proofErr w:type="spellStart"/>
      <w:r w:rsidR="00016AB1">
        <w:rPr>
          <w:rFonts w:ascii="Times New Roman" w:hAnsi="Times New Roman" w:cs="Times New Roman"/>
          <w:sz w:val="24"/>
          <w:szCs w:val="24"/>
          <w:lang w:val="lt-LT"/>
        </w:rPr>
        <w:t>vyresn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14E4A">
        <w:rPr>
          <w:rFonts w:ascii="Times New Roman" w:hAnsi="Times New Roman" w:cs="Times New Roman"/>
          <w:sz w:val="24"/>
          <w:szCs w:val="24"/>
          <w:lang w:val="lt-LT"/>
        </w:rPr>
        <w:t>mokytoja, grupės narė;</w:t>
      </w:r>
    </w:p>
    <w:p w:rsidR="00016AB1" w:rsidRDefault="008949B5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Lucija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Kadzevič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 – lenkų </w:t>
      </w:r>
      <w:r w:rsidR="00A14E4A">
        <w:rPr>
          <w:rFonts w:ascii="Times New Roman" w:hAnsi="Times New Roman" w:cs="Times New Roman"/>
          <w:sz w:val="24"/>
          <w:szCs w:val="24"/>
          <w:lang w:val="lt-LT"/>
        </w:rPr>
        <w:t xml:space="preserve">kalbos </w:t>
      </w:r>
      <w:proofErr w:type="spellStart"/>
      <w:r w:rsidR="00A14E4A">
        <w:rPr>
          <w:rFonts w:ascii="Times New Roman" w:hAnsi="Times New Roman" w:cs="Times New Roman"/>
          <w:sz w:val="24"/>
          <w:szCs w:val="24"/>
          <w:lang w:val="lt-LT"/>
        </w:rPr>
        <w:t>vyresn</w:t>
      </w:r>
      <w:proofErr w:type="spellEnd"/>
      <w:r w:rsidR="00A14E4A">
        <w:rPr>
          <w:rFonts w:ascii="Times New Roman" w:hAnsi="Times New Roman" w:cs="Times New Roman"/>
          <w:sz w:val="24"/>
          <w:szCs w:val="24"/>
          <w:lang w:val="lt-LT"/>
        </w:rPr>
        <w:t>. mokytoja, grupės narė;</w:t>
      </w:r>
    </w:p>
    <w:p w:rsidR="00016AB1" w:rsidRDefault="008949B5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Lena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Šilingienė</w:t>
      </w:r>
      <w:proofErr w:type="spellEnd"/>
      <w:r w:rsidR="00016AB1">
        <w:rPr>
          <w:rFonts w:ascii="Times New Roman" w:hAnsi="Times New Roman" w:cs="Times New Roman"/>
          <w:sz w:val="24"/>
          <w:szCs w:val="24"/>
          <w:lang w:val="lt-LT"/>
        </w:rPr>
        <w:t xml:space="preserve"> – ikimokyklinio </w:t>
      </w:r>
      <w:r w:rsidR="00A14E4A">
        <w:rPr>
          <w:rFonts w:ascii="Times New Roman" w:hAnsi="Times New Roman" w:cs="Times New Roman"/>
          <w:sz w:val="24"/>
          <w:szCs w:val="24"/>
          <w:lang w:val="lt-LT"/>
        </w:rPr>
        <w:t>ugdymo mokytoja metodininkė, grupės narė.</w:t>
      </w:r>
    </w:p>
    <w:p w:rsidR="00A14E4A" w:rsidRDefault="00A14E4A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</w:p>
    <w:p w:rsidR="009F3D76" w:rsidRDefault="009F3D76" w:rsidP="001434D3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9F3D76">
        <w:rPr>
          <w:rFonts w:ascii="Times New Roman" w:hAnsi="Times New Roman" w:cs="Times New Roman"/>
          <w:sz w:val="24"/>
          <w:szCs w:val="24"/>
          <w:lang w:val="lt-LT"/>
        </w:rPr>
        <w:t>Mokyklos  veiklos  kokybės  įsivertinimas  atliktas  vadovaujantis  Lietuvos  Respublikos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F3D76">
        <w:rPr>
          <w:rFonts w:ascii="Times New Roman" w:hAnsi="Times New Roman" w:cs="Times New Roman"/>
          <w:sz w:val="24"/>
          <w:szCs w:val="24"/>
          <w:lang w:val="lt-LT"/>
        </w:rPr>
        <w:t xml:space="preserve">švietimo  ir  mokslo  ministro  2016  </w:t>
      </w:r>
      <w:proofErr w:type="spellStart"/>
      <w:r w:rsidRPr="009F3D76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9F3D76">
        <w:rPr>
          <w:rFonts w:ascii="Times New Roman" w:hAnsi="Times New Roman" w:cs="Times New Roman"/>
          <w:sz w:val="24"/>
          <w:szCs w:val="24"/>
          <w:lang w:val="lt-LT"/>
        </w:rPr>
        <w:t xml:space="preserve">.  kovo  29  </w:t>
      </w:r>
      <w:proofErr w:type="spellStart"/>
      <w:r w:rsidRPr="009F3D76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9F3D76">
        <w:rPr>
          <w:rFonts w:ascii="Times New Roman" w:hAnsi="Times New Roman" w:cs="Times New Roman"/>
          <w:sz w:val="24"/>
          <w:szCs w:val="24"/>
          <w:lang w:val="lt-LT"/>
        </w:rPr>
        <w:t xml:space="preserve">.  įsakymu  </w:t>
      </w:r>
      <w:proofErr w:type="spellStart"/>
      <w:r w:rsidRPr="009F3D76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9F3D76">
        <w:rPr>
          <w:rFonts w:ascii="Times New Roman" w:hAnsi="Times New Roman" w:cs="Times New Roman"/>
          <w:sz w:val="24"/>
          <w:szCs w:val="24"/>
          <w:lang w:val="lt-LT"/>
        </w:rPr>
        <w:t>.  V-267  patvirtinta  „Mokyklos, įgyvendinančios bendrojo ugdymo programas, veiklos kokybės įsivertinimo metodika“.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52F67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1. Kurti </w:t>
      </w:r>
      <w:r>
        <w:rPr>
          <w:rFonts w:ascii="Times New Roman" w:hAnsi="Times New Roman" w:cs="Times New Roman"/>
          <w:sz w:val="24"/>
          <w:szCs w:val="24"/>
          <w:lang w:val="lt-LT"/>
        </w:rPr>
        <w:t>mokyklą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>, kaip besimokančią organizaciją, kuri nuolat aptaria savo veiklos kokybę ir susitaria dėl jos tobulinimo krypčių bei būdų.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52F67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1. Atlikti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veiklos kokybės įsivertinimą.</w:t>
      </w:r>
    </w:p>
    <w:p w:rsid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2. Rinkti, apdoroti, analizuoti, įforminti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veiklos kokybės įsivertinimo rezultatus.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>Stiprinti mokyklos bendruomenės narių tapatumo jausmą, atsakomybę už visos mokyklos veiklos kokybę.</w:t>
      </w:r>
    </w:p>
    <w:p w:rsid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>Atkreipti mokyklos bendruomenės dėmes</w:t>
      </w: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į veiklos aspektus, lemiančius ugdymo šiuolaikiškumą ir kokybę.</w:t>
      </w:r>
    </w:p>
    <w:p w:rsidR="00052F67" w:rsidRPr="00052F67" w:rsidRDefault="00052F67" w:rsidP="00052F6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>Atrasti mokyklos veiklos kokybės sėkmes bei trukdžius ir nustatyti tobulintinas sritis.</w:t>
      </w:r>
    </w:p>
    <w:p w:rsidR="00052F67" w:rsidRPr="001434D3" w:rsidRDefault="001434D3" w:rsidP="001434D3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34D3">
        <w:rPr>
          <w:rFonts w:ascii="Times New Roman" w:hAnsi="Times New Roman" w:cs="Times New Roman"/>
          <w:b/>
          <w:sz w:val="24"/>
          <w:szCs w:val="24"/>
          <w:lang w:val="lt-LT"/>
        </w:rPr>
        <w:t>TYRIMO EIGA</w:t>
      </w:r>
    </w:p>
    <w:p w:rsidR="00052F67" w:rsidRPr="00052F67" w:rsidRDefault="00052F67" w:rsidP="00A14E4A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Eitminiškių pagrindinės mokyklos bendruomenė 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 atliko  platųjį 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 veiklos k</w:t>
      </w:r>
      <w:r w:rsidR="00711DCC">
        <w:rPr>
          <w:rFonts w:ascii="Times New Roman" w:hAnsi="Times New Roman" w:cs="Times New Roman"/>
          <w:sz w:val="24"/>
          <w:szCs w:val="24"/>
          <w:lang w:val="lt-LT"/>
        </w:rPr>
        <w:t>okybės įsivertinimą, įvertindama</w:t>
      </w:r>
      <w:r w:rsidRPr="00052F67">
        <w:rPr>
          <w:rFonts w:ascii="Times New Roman" w:hAnsi="Times New Roman" w:cs="Times New Roman"/>
          <w:sz w:val="24"/>
          <w:szCs w:val="24"/>
          <w:lang w:val="lt-LT"/>
        </w:rPr>
        <w:t xml:space="preserve"> penkias mokyklos veiklos sritis pagal vertinimo lygių skalę nuo 1 iki 4.</w:t>
      </w:r>
    </w:p>
    <w:p w:rsidR="00052F67" w:rsidRDefault="001434D3" w:rsidP="00A14E4A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2023  </w:t>
      </w:r>
      <w:proofErr w:type="spellStart"/>
      <w:r w:rsidRPr="001434D3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.  </w:t>
      </w:r>
      <w:r w:rsidR="00A14E4A">
        <w:rPr>
          <w:rFonts w:ascii="Times New Roman" w:hAnsi="Times New Roman" w:cs="Times New Roman"/>
          <w:sz w:val="24"/>
          <w:szCs w:val="24"/>
          <w:lang w:val="lt-LT"/>
        </w:rPr>
        <w:t>vasario-kovo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proofErr w:type="spellStart"/>
      <w:r w:rsidRPr="001434D3">
        <w:rPr>
          <w:rFonts w:ascii="Times New Roman" w:hAnsi="Times New Roman" w:cs="Times New Roman"/>
          <w:sz w:val="24"/>
          <w:szCs w:val="24"/>
          <w:lang w:val="lt-LT"/>
        </w:rPr>
        <w:t>mėn</w:t>
      </w:r>
      <w:proofErr w:type="spellEnd"/>
      <w:r w:rsidRPr="001434D3">
        <w:rPr>
          <w:rFonts w:ascii="Times New Roman" w:hAnsi="Times New Roman" w:cs="Times New Roman"/>
          <w:sz w:val="24"/>
          <w:szCs w:val="24"/>
          <w:lang w:val="lt-LT"/>
        </w:rPr>
        <w:t>.  mok</w:t>
      </w:r>
      <w:r>
        <w:rPr>
          <w:rFonts w:ascii="Times New Roman" w:hAnsi="Times New Roman" w:cs="Times New Roman"/>
          <w:sz w:val="24"/>
          <w:szCs w:val="24"/>
          <w:lang w:val="lt-LT"/>
        </w:rPr>
        <w:t>ykl</w:t>
      </w:r>
      <w:r w:rsidR="00711DCC">
        <w:rPr>
          <w:rFonts w:ascii="Times New Roman" w:hAnsi="Times New Roman" w:cs="Times New Roman"/>
          <w:sz w:val="24"/>
          <w:szCs w:val="24"/>
          <w:lang w:val="lt-LT"/>
        </w:rPr>
        <w:t xml:space="preserve">os  bendruomenei  (mokiniams, 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tėvams  ir  mokytojams) pateikti </w:t>
      </w:r>
      <w:r w:rsidR="00A14E4A" w:rsidRPr="001434D3">
        <w:rPr>
          <w:rFonts w:ascii="Times New Roman" w:hAnsi="Times New Roman" w:cs="Times New Roman"/>
          <w:sz w:val="24"/>
          <w:szCs w:val="24"/>
          <w:lang w:val="lt-LT"/>
        </w:rPr>
        <w:t>klausimynai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. Tyrime dalyvavo </w:t>
      </w:r>
      <w:r>
        <w:rPr>
          <w:rFonts w:ascii="Times New Roman" w:hAnsi="Times New Roman" w:cs="Times New Roman"/>
          <w:sz w:val="24"/>
          <w:szCs w:val="24"/>
          <w:lang w:val="lt-LT"/>
        </w:rPr>
        <w:t>16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mokytoj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iš </w:t>
      </w:r>
      <w:r>
        <w:rPr>
          <w:rFonts w:ascii="Times New Roman" w:hAnsi="Times New Roman" w:cs="Times New Roman"/>
          <w:sz w:val="24"/>
          <w:szCs w:val="24"/>
          <w:lang w:val="lt-LT"/>
        </w:rPr>
        <w:t>18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(atitinkamai </w:t>
      </w:r>
      <w:r>
        <w:rPr>
          <w:rFonts w:ascii="Times New Roman" w:hAnsi="Times New Roman" w:cs="Times New Roman"/>
          <w:sz w:val="24"/>
          <w:szCs w:val="24"/>
          <w:lang w:val="lt-LT"/>
        </w:rPr>
        <w:t>88,9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434D3">
        <w:rPr>
          <w:rFonts w:ascii="Times New Roman" w:hAnsi="Times New Roman" w:cs="Times New Roman"/>
          <w:sz w:val="24"/>
          <w:szCs w:val="24"/>
          <w:lang w:val="lt-LT"/>
        </w:rPr>
        <w:t>proc</w:t>
      </w:r>
      <w:proofErr w:type="spellEnd"/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.), </w:t>
      </w:r>
      <w:r w:rsidR="00711DCC">
        <w:rPr>
          <w:rFonts w:ascii="Times New Roman" w:hAnsi="Times New Roman" w:cs="Times New Roman"/>
          <w:sz w:val="24"/>
          <w:szCs w:val="24"/>
          <w:lang w:val="lt-LT"/>
        </w:rPr>
        <w:t>24 mokiniai</w:t>
      </w:r>
      <w:r w:rsidR="00636EBF">
        <w:rPr>
          <w:rFonts w:ascii="Times New Roman" w:hAnsi="Times New Roman" w:cs="Times New Roman"/>
          <w:sz w:val="24"/>
          <w:szCs w:val="24"/>
          <w:lang w:val="lt-LT"/>
        </w:rPr>
        <w:t xml:space="preserve"> ( 5-10 klasių)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 iš </w:t>
      </w:r>
      <w:r w:rsidR="00636EBF">
        <w:rPr>
          <w:rFonts w:ascii="Times New Roman" w:hAnsi="Times New Roman" w:cs="Times New Roman"/>
          <w:sz w:val="24"/>
          <w:szCs w:val="24"/>
          <w:lang w:val="lt-LT"/>
        </w:rPr>
        <w:t xml:space="preserve">26 pakviestų </w:t>
      </w:r>
      <w:r w:rsidRPr="001434D3">
        <w:rPr>
          <w:rFonts w:ascii="Times New Roman" w:hAnsi="Times New Roman" w:cs="Times New Roman"/>
          <w:sz w:val="24"/>
          <w:szCs w:val="24"/>
          <w:lang w:val="lt-LT"/>
        </w:rPr>
        <w:t xml:space="preserve">(atitinkamai  </w:t>
      </w:r>
      <w:r w:rsidRPr="000C6D7D">
        <w:rPr>
          <w:rFonts w:ascii="Times New Roman" w:hAnsi="Times New Roman" w:cs="Times New Roman"/>
          <w:sz w:val="24"/>
          <w:szCs w:val="24"/>
          <w:lang w:val="lt-LT"/>
        </w:rPr>
        <w:t xml:space="preserve">–  </w:t>
      </w:r>
      <w:r w:rsidR="00636EBF" w:rsidRPr="000C6D7D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0C6D7D" w:rsidRPr="000C6D7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636EBF" w:rsidRPr="000C6D7D">
        <w:rPr>
          <w:rFonts w:ascii="Times New Roman" w:hAnsi="Times New Roman" w:cs="Times New Roman"/>
          <w:sz w:val="24"/>
          <w:szCs w:val="24"/>
          <w:lang w:val="lt-LT"/>
        </w:rPr>
        <w:t xml:space="preserve">,3 </w:t>
      </w:r>
      <w:proofErr w:type="spellStart"/>
      <w:r w:rsidR="00636EBF">
        <w:rPr>
          <w:rFonts w:ascii="Times New Roman" w:hAnsi="Times New Roman" w:cs="Times New Roman"/>
          <w:sz w:val="24"/>
          <w:szCs w:val="24"/>
          <w:lang w:val="lt-LT"/>
        </w:rPr>
        <w:t>proc</w:t>
      </w:r>
      <w:proofErr w:type="spellEnd"/>
      <w:r w:rsidR="00636EBF">
        <w:rPr>
          <w:rFonts w:ascii="Times New Roman" w:hAnsi="Times New Roman" w:cs="Times New Roman"/>
          <w:sz w:val="24"/>
          <w:szCs w:val="24"/>
          <w:lang w:val="lt-LT"/>
        </w:rPr>
        <w:t xml:space="preserve">.).   </w:t>
      </w:r>
    </w:p>
    <w:p w:rsidR="00A14E4A" w:rsidRDefault="00A14E4A" w:rsidP="00FB397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B3976" w:rsidRDefault="00E25F18" w:rsidP="00FB397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25F18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TYRIMO REZULTATŲ APIBENDRINIMAS</w:t>
      </w:r>
    </w:p>
    <w:p w:rsidR="00FB3976" w:rsidRPr="003A026C" w:rsidRDefault="00FB3976" w:rsidP="00FB397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A026C">
        <w:rPr>
          <w:rFonts w:ascii="Times New Roman" w:hAnsi="Times New Roman" w:cs="Times New Roman"/>
          <w:b/>
          <w:sz w:val="24"/>
          <w:szCs w:val="24"/>
          <w:lang w:val="lt-LT"/>
        </w:rPr>
        <w:t>Kokybės įsivertinimo rodiklių reikšmės:</w:t>
      </w:r>
    </w:p>
    <w:p w:rsidR="00FB3976" w:rsidRDefault="00FB3976" w:rsidP="00FB397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A026C">
        <w:rPr>
          <w:rFonts w:ascii="Times New Roman" w:hAnsi="Times New Roman" w:cs="Times New Roman"/>
          <w:sz w:val="24"/>
          <w:szCs w:val="24"/>
          <w:lang w:val="lt-LT"/>
        </w:rPr>
        <w:t>Srities įvertinimas žemesniu nei 2,5 rodikliu laikomas silpnu ir taisytinu. Aukštesnis rodiklis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A026C">
        <w:rPr>
          <w:rFonts w:ascii="Times New Roman" w:hAnsi="Times New Roman" w:cs="Times New Roman"/>
          <w:sz w:val="24"/>
          <w:szCs w:val="24"/>
          <w:lang w:val="lt-LT"/>
        </w:rPr>
        <w:t xml:space="preserve">byloja apie stipresnę veiklos sritį. Vertinimo skalės rodikliai siekia I - IV lygius: I - blogai, II -patenkinamai, III - gerai, IV - puikiai. </w:t>
      </w:r>
    </w:p>
    <w:p w:rsidR="00E25F18" w:rsidRPr="00E25F18" w:rsidRDefault="00E25F18" w:rsidP="00E25F1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F19C3" w:rsidRPr="00621C38" w:rsidRDefault="00FF1E3E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AC6EC" wp14:editId="3B2DFBEA">
            <wp:extent cx="6229350" cy="3733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4E4A" w:rsidRDefault="00A14E4A" w:rsidP="00FB3976">
      <w:pPr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</w:pPr>
    </w:p>
    <w:p w:rsidR="00FB3976" w:rsidRPr="000C6D7D" w:rsidRDefault="00FB3976" w:rsidP="00FB3976">
      <w:pPr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  <w:t>AUKŠČIAUSIOS VERTĖS</w:t>
      </w:r>
    </w:p>
    <w:p w:rsidR="00FB3976" w:rsidRPr="000C6D7D" w:rsidRDefault="006246A9" w:rsidP="00FB3976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2.1.1. </w:t>
      </w:r>
      <w:proofErr w:type="spellStart"/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Ugdymo(si</w:t>
      </w:r>
      <w:proofErr w:type="spellEnd"/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) tikslai – 3,2</w:t>
      </w:r>
    </w:p>
    <w:p w:rsidR="006246A9" w:rsidRPr="000C6D7D" w:rsidRDefault="006246A9" w:rsidP="00FB3976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2.1.3. Orientavimasis į mokinių poreikius – 3,2</w:t>
      </w: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3.1.1. Įranga ir priemonės – 3,2</w:t>
      </w: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4.2.1. Veikimas kartu – 3,2</w:t>
      </w: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4.3.2. Nuolatinis profesinis tobulėjimas – 3,2</w:t>
      </w:r>
    </w:p>
    <w:p w:rsidR="006246A9" w:rsidRPr="000C6D7D" w:rsidRDefault="006246A9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CB3897" w:rsidRPr="000C6D7D" w:rsidRDefault="00CB3897" w:rsidP="00CB389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</w:pPr>
    </w:p>
    <w:p w:rsidR="00CB3897" w:rsidRPr="000C6D7D" w:rsidRDefault="00CB3897" w:rsidP="00CB3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  <w:t>ŽEMIAUSIOS VERTĖS</w:t>
      </w:r>
    </w:p>
    <w:p w:rsidR="00CB3897" w:rsidRPr="000C6D7D" w:rsidRDefault="00CB3897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6246A9" w:rsidRPr="000C6D7D" w:rsidRDefault="00CB3897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2.1.2. Ugdymo planai ir tvarkaraščiai - 2,6 </w:t>
      </w:r>
    </w:p>
    <w:p w:rsidR="00CB3897" w:rsidRPr="000C6D7D" w:rsidRDefault="00CB3897" w:rsidP="006246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2.3.1. Mokymasis - 2,5 </w:t>
      </w: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lastRenderedPageBreak/>
        <w:t>2.4.2. Mokinių įsivertinimas – 2,6</w:t>
      </w: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3.2.2. Mokymasis virtualioje aplinkoje - 2,5 </w:t>
      </w: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0C6D7D">
        <w:rPr>
          <w:rFonts w:ascii="Times New Roman" w:hAnsi="Times New Roman" w:cs="Times New Roman"/>
          <w:bCs/>
          <w:sz w:val="24"/>
          <w:szCs w:val="24"/>
          <w:lang w:val="lt-LT"/>
        </w:rPr>
        <w:t>4.2.2. Bendradarbiavimas su tėvais</w:t>
      </w:r>
      <w:r w:rsidRPr="000C6D7D">
        <w:rPr>
          <w:rFonts w:ascii="Times New Roman" w:hAnsi="Times New Roman" w:cs="Times New Roman"/>
          <w:sz w:val="24"/>
          <w:szCs w:val="24"/>
          <w:lang w:val="lt-LT"/>
        </w:rPr>
        <w:t xml:space="preserve"> – 2,4</w:t>
      </w:r>
    </w:p>
    <w:p w:rsidR="00261462" w:rsidRPr="000C6D7D" w:rsidRDefault="00261462" w:rsidP="002614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9C3264" w:rsidRPr="00621C38" w:rsidRDefault="00261462" w:rsidP="00621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Visuminio įsivertinimo rezultatai buvo aptarti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Mokyklos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tarybos posėdyje,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Metodinėje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taryboje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, pristatyti </w:t>
      </w:r>
      <w:r w:rsidR="00AF33D1">
        <w:rPr>
          <w:rFonts w:ascii="Times New Roman" w:hAnsi="Times New Roman" w:cs="Times New Roman"/>
          <w:bCs/>
          <w:sz w:val="24"/>
          <w:szCs w:val="24"/>
          <w:lang w:val="lt-LT"/>
        </w:rPr>
        <w:t>M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>ok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ytojų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tarybai</w:t>
      </w:r>
      <w:r w:rsidR="00621C38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. 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Giluminiam įsivertinimui pasirinktas rodiklis: </w:t>
      </w:r>
      <w:r w:rsidRPr="000C6D7D">
        <w:rPr>
          <w:rFonts w:ascii="Times New Roman" w:hAnsi="Times New Roman" w:cs="Times New Roman"/>
          <w:b/>
          <w:bCs/>
          <w:sz w:val="24"/>
          <w:szCs w:val="24"/>
          <w:lang w:val="lt-LT"/>
        </w:rPr>
        <w:t>2.4.2</w:t>
      </w:r>
      <w:r w:rsidRPr="0026146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. Mokinių įsivertinimas. </w:t>
      </w:r>
    </w:p>
    <w:p w:rsidR="00621C38" w:rsidRDefault="00621C38" w:rsidP="00694F10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E6375" w:rsidRPr="005B126E" w:rsidRDefault="00694F10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>eiklos kokybės įsivertinimo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darbo grupės pirmininkė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</w:p>
    <w:sectPr w:rsidR="003E6375" w:rsidRPr="005B126E" w:rsidSect="00FB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65"/>
    <w:rsid w:val="00001E2A"/>
    <w:rsid w:val="00016AB1"/>
    <w:rsid w:val="00052F67"/>
    <w:rsid w:val="000548FF"/>
    <w:rsid w:val="000930B7"/>
    <w:rsid w:val="000C6D7D"/>
    <w:rsid w:val="001434D3"/>
    <w:rsid w:val="00261462"/>
    <w:rsid w:val="002C111D"/>
    <w:rsid w:val="003A026C"/>
    <w:rsid w:val="003C2350"/>
    <w:rsid w:val="003E6375"/>
    <w:rsid w:val="0043391E"/>
    <w:rsid w:val="004B0360"/>
    <w:rsid w:val="0053591A"/>
    <w:rsid w:val="005B126E"/>
    <w:rsid w:val="00621C38"/>
    <w:rsid w:val="006246A9"/>
    <w:rsid w:val="00636EBF"/>
    <w:rsid w:val="00694F10"/>
    <w:rsid w:val="00711DCC"/>
    <w:rsid w:val="007678A6"/>
    <w:rsid w:val="007741B1"/>
    <w:rsid w:val="008949B5"/>
    <w:rsid w:val="00944E65"/>
    <w:rsid w:val="009C3264"/>
    <w:rsid w:val="009F3D76"/>
    <w:rsid w:val="00A05096"/>
    <w:rsid w:val="00A14E4A"/>
    <w:rsid w:val="00A64A6F"/>
    <w:rsid w:val="00A93C99"/>
    <w:rsid w:val="00AE1CB8"/>
    <w:rsid w:val="00AF33D1"/>
    <w:rsid w:val="00B83326"/>
    <w:rsid w:val="00BE2DCD"/>
    <w:rsid w:val="00BF2255"/>
    <w:rsid w:val="00CB3897"/>
    <w:rsid w:val="00CD06A8"/>
    <w:rsid w:val="00CF19C3"/>
    <w:rsid w:val="00D81657"/>
    <w:rsid w:val="00DD3728"/>
    <w:rsid w:val="00E25F18"/>
    <w:rsid w:val="00E53F92"/>
    <w:rsid w:val="00EA0DCB"/>
    <w:rsid w:val="00FB3976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1.1.1. Asmenybės tapsmas</c:v>
                </c:pt>
                <c:pt idx="1">
                  <c:v>1.2.1. Mokinio pasiekimai ir pažanga</c:v>
                </c:pt>
                <c:pt idx="2">
                  <c:v>1.2.2. Mokyklos pasiekimai ir pažanga</c:v>
                </c:pt>
                <c:pt idx="3">
                  <c:v>2.1.1. Ugdymo(si) tikslai</c:v>
                </c:pt>
                <c:pt idx="4">
                  <c:v>2.1.2. Ugdymo planai ir tvarkaraščiai</c:v>
                </c:pt>
                <c:pt idx="5">
                  <c:v>2.1.3. Orientavimasis į mokinių poreikius</c:v>
                </c:pt>
                <c:pt idx="6">
                  <c:v>2.2.1. Mokymosi lūkesčiai ir mokinių skatinimas</c:v>
                </c:pt>
                <c:pt idx="7">
                  <c:v>2.2.2. Ugdymo(si) organizavimas</c:v>
                </c:pt>
                <c:pt idx="8">
                  <c:v>2.3.1. Mokymasis</c:v>
                </c:pt>
                <c:pt idx="9">
                  <c:v>2.3.2. Ugdymas mokyklos gyvenimu</c:v>
                </c:pt>
                <c:pt idx="10">
                  <c:v>2.4.1. Vertinimas ugdymui</c:v>
                </c:pt>
                <c:pt idx="11">
                  <c:v>2.4.2. Mokinių įsivertinimas</c:v>
                </c:pt>
                <c:pt idx="12">
                  <c:v>3.1.1. Įranga ir priemonės</c:v>
                </c:pt>
                <c:pt idx="13">
                  <c:v>3.1.2. Pastatas ir jo aplinka</c:v>
                </c:pt>
                <c:pt idx="14">
                  <c:v>3.1.3. Aplinkų bendrakūra</c:v>
                </c:pt>
                <c:pt idx="15">
                  <c:v>3.2.1. Mokymasis ne mokykloje</c:v>
                </c:pt>
                <c:pt idx="16">
                  <c:v>3.2.2. Mokymasis virtualioje aplinkoje</c:v>
                </c:pt>
                <c:pt idx="17">
                  <c:v>4.1.1. Perspektyva ir bendruomenės susitarimai</c:v>
                </c:pt>
                <c:pt idx="18">
                  <c:v>4.1.2. Lyderystė</c:v>
                </c:pt>
                <c:pt idx="19">
                  <c:v>4.1.3. Mokyklos savivalda</c:v>
                </c:pt>
                <c:pt idx="20">
                  <c:v>4.2.1. Veikimas kartu</c:v>
                </c:pt>
                <c:pt idx="21">
                  <c:v>4.2.2. Bendradarbiavimas su tėvais </c:v>
                </c:pt>
                <c:pt idx="22">
                  <c:v>4.2. 3. Mokyklos tinklaveika</c:v>
                </c:pt>
                <c:pt idx="23">
                  <c:v>4.3.1. Kompetencija</c:v>
                </c:pt>
                <c:pt idx="24">
                  <c:v>4.3.2. Nuolatinis profesinis tobulėjimas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2.9</c:v>
                </c:pt>
                <c:pt idx="1">
                  <c:v>2.9</c:v>
                </c:pt>
                <c:pt idx="2">
                  <c:v>2.7</c:v>
                </c:pt>
                <c:pt idx="3">
                  <c:v>3.2</c:v>
                </c:pt>
                <c:pt idx="4">
                  <c:v>2.6</c:v>
                </c:pt>
                <c:pt idx="5">
                  <c:v>3.2</c:v>
                </c:pt>
                <c:pt idx="6">
                  <c:v>3.1</c:v>
                </c:pt>
                <c:pt idx="7">
                  <c:v>3</c:v>
                </c:pt>
                <c:pt idx="8">
                  <c:v>2.5</c:v>
                </c:pt>
                <c:pt idx="9">
                  <c:v>2.9</c:v>
                </c:pt>
                <c:pt idx="10">
                  <c:v>3.1</c:v>
                </c:pt>
                <c:pt idx="11">
                  <c:v>2.6</c:v>
                </c:pt>
                <c:pt idx="12">
                  <c:v>3.2</c:v>
                </c:pt>
                <c:pt idx="13">
                  <c:v>3.1</c:v>
                </c:pt>
                <c:pt idx="14">
                  <c:v>3</c:v>
                </c:pt>
                <c:pt idx="15">
                  <c:v>2.6</c:v>
                </c:pt>
                <c:pt idx="16">
                  <c:v>2.5</c:v>
                </c:pt>
                <c:pt idx="17">
                  <c:v>2.9</c:v>
                </c:pt>
                <c:pt idx="18">
                  <c:v>2.9</c:v>
                </c:pt>
                <c:pt idx="19">
                  <c:v>3</c:v>
                </c:pt>
                <c:pt idx="20">
                  <c:v>3.2</c:v>
                </c:pt>
                <c:pt idx="21">
                  <c:v>2.4</c:v>
                </c:pt>
                <c:pt idx="22">
                  <c:v>2.8</c:v>
                </c:pt>
                <c:pt idx="23">
                  <c:v>3.1</c:v>
                </c:pt>
                <c:pt idx="2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1.1.1. Asmenybės tapsmas</c:v>
                </c:pt>
                <c:pt idx="1">
                  <c:v>1.2.1. Mokinio pasiekimai ir pažanga</c:v>
                </c:pt>
                <c:pt idx="2">
                  <c:v>1.2.2. Mokyklos pasiekimai ir pažanga</c:v>
                </c:pt>
                <c:pt idx="3">
                  <c:v>2.1.1. Ugdymo(si) tikslai</c:v>
                </c:pt>
                <c:pt idx="4">
                  <c:v>2.1.2. Ugdymo planai ir tvarkaraščiai</c:v>
                </c:pt>
                <c:pt idx="5">
                  <c:v>2.1.3. Orientavimasis į mokinių poreikius</c:v>
                </c:pt>
                <c:pt idx="6">
                  <c:v>2.2.1. Mokymosi lūkesčiai ir mokinių skatinimas</c:v>
                </c:pt>
                <c:pt idx="7">
                  <c:v>2.2.2. Ugdymo(si) organizavimas</c:v>
                </c:pt>
                <c:pt idx="8">
                  <c:v>2.3.1. Mokymasis</c:v>
                </c:pt>
                <c:pt idx="9">
                  <c:v>2.3.2. Ugdymas mokyklos gyvenimu</c:v>
                </c:pt>
                <c:pt idx="10">
                  <c:v>2.4.1. Vertinimas ugdymui</c:v>
                </c:pt>
                <c:pt idx="11">
                  <c:v>2.4.2. Mokinių įsivertinimas</c:v>
                </c:pt>
                <c:pt idx="12">
                  <c:v>3.1.1. Įranga ir priemonės</c:v>
                </c:pt>
                <c:pt idx="13">
                  <c:v>3.1.2. Pastatas ir jo aplinka</c:v>
                </c:pt>
                <c:pt idx="14">
                  <c:v>3.1.3. Aplinkų bendrakūra</c:v>
                </c:pt>
                <c:pt idx="15">
                  <c:v>3.2.1. Mokymasis ne mokykloje</c:v>
                </c:pt>
                <c:pt idx="16">
                  <c:v>3.2.2. Mokymasis virtualioje aplinkoje</c:v>
                </c:pt>
                <c:pt idx="17">
                  <c:v>4.1.1. Perspektyva ir bendruomenės susitarimai</c:v>
                </c:pt>
                <c:pt idx="18">
                  <c:v>4.1.2. Lyderystė</c:v>
                </c:pt>
                <c:pt idx="19">
                  <c:v>4.1.3. Mokyklos savivalda</c:v>
                </c:pt>
                <c:pt idx="20">
                  <c:v>4.2.1. Veikimas kartu</c:v>
                </c:pt>
                <c:pt idx="21">
                  <c:v>4.2.2. Bendradarbiavimas su tėvais </c:v>
                </c:pt>
                <c:pt idx="22">
                  <c:v>4.2. 3. Mokyklos tinklaveika</c:v>
                </c:pt>
                <c:pt idx="23">
                  <c:v>4.3.1. Kompetencija</c:v>
                </c:pt>
                <c:pt idx="24">
                  <c:v>4.3.2. Nuolatinis profesinis tobulėjimas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1.1.1. Asmenybės tapsmas</c:v>
                </c:pt>
                <c:pt idx="1">
                  <c:v>1.2.1. Mokinio pasiekimai ir pažanga</c:v>
                </c:pt>
                <c:pt idx="2">
                  <c:v>1.2.2. Mokyklos pasiekimai ir pažanga</c:v>
                </c:pt>
                <c:pt idx="3">
                  <c:v>2.1.1. Ugdymo(si) tikslai</c:v>
                </c:pt>
                <c:pt idx="4">
                  <c:v>2.1.2. Ugdymo planai ir tvarkaraščiai</c:v>
                </c:pt>
                <c:pt idx="5">
                  <c:v>2.1.3. Orientavimasis į mokinių poreikius</c:v>
                </c:pt>
                <c:pt idx="6">
                  <c:v>2.2.1. Mokymosi lūkesčiai ir mokinių skatinimas</c:v>
                </c:pt>
                <c:pt idx="7">
                  <c:v>2.2.2. Ugdymo(si) organizavimas</c:v>
                </c:pt>
                <c:pt idx="8">
                  <c:v>2.3.1. Mokymasis</c:v>
                </c:pt>
                <c:pt idx="9">
                  <c:v>2.3.2. Ugdymas mokyklos gyvenimu</c:v>
                </c:pt>
                <c:pt idx="10">
                  <c:v>2.4.1. Vertinimas ugdymui</c:v>
                </c:pt>
                <c:pt idx="11">
                  <c:v>2.4.2. Mokinių įsivertinimas</c:v>
                </c:pt>
                <c:pt idx="12">
                  <c:v>3.1.1. Įranga ir priemonės</c:v>
                </c:pt>
                <c:pt idx="13">
                  <c:v>3.1.2. Pastatas ir jo aplinka</c:v>
                </c:pt>
                <c:pt idx="14">
                  <c:v>3.1.3. Aplinkų bendrakūra</c:v>
                </c:pt>
                <c:pt idx="15">
                  <c:v>3.2.1. Mokymasis ne mokykloje</c:v>
                </c:pt>
                <c:pt idx="16">
                  <c:v>3.2.2. Mokymasis virtualioje aplinkoje</c:v>
                </c:pt>
                <c:pt idx="17">
                  <c:v>4.1.1. Perspektyva ir bendruomenės susitarimai</c:v>
                </c:pt>
                <c:pt idx="18">
                  <c:v>4.1.2. Lyderystė</c:v>
                </c:pt>
                <c:pt idx="19">
                  <c:v>4.1.3. Mokyklos savivalda</c:v>
                </c:pt>
                <c:pt idx="20">
                  <c:v>4.2.1. Veikimas kartu</c:v>
                </c:pt>
                <c:pt idx="21">
                  <c:v>4.2.2. Bendradarbiavimas su tėvais </c:v>
                </c:pt>
                <c:pt idx="22">
                  <c:v>4.2. 3. Mokyklos tinklaveika</c:v>
                </c:pt>
                <c:pt idx="23">
                  <c:v>4.3.1. Kompetencija</c:v>
                </c:pt>
                <c:pt idx="24">
                  <c:v>4.3.2. Nuolatinis profesinis tobulėjimas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97536"/>
        <c:axId val="38899072"/>
      </c:barChart>
      <c:catAx>
        <c:axId val="3889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899072"/>
        <c:crosses val="autoZero"/>
        <c:auto val="1"/>
        <c:lblAlgn val="ctr"/>
        <c:lblOffset val="100"/>
        <c:noMultiLvlLbl val="0"/>
      </c:catAx>
      <c:valAx>
        <c:axId val="3889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897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B5DD-0A74-475C-A0DD-9B18620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Bozki</cp:lastModifiedBy>
  <cp:revision>3</cp:revision>
  <dcterms:created xsi:type="dcterms:W3CDTF">2024-05-11T13:49:00Z</dcterms:created>
  <dcterms:modified xsi:type="dcterms:W3CDTF">2024-05-11T17:27:00Z</dcterms:modified>
</cp:coreProperties>
</file>