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AC5" w:rsidRDefault="00C81AC5" w:rsidP="00852A0F">
      <w:pPr>
        <w:jc w:val="center"/>
        <w:rPr>
          <w:b/>
          <w:bCs/>
          <w:sz w:val="27"/>
          <w:szCs w:val="27"/>
        </w:rPr>
      </w:pPr>
    </w:p>
    <w:p w:rsidR="00852A0F" w:rsidRDefault="00852A0F" w:rsidP="00852A0F">
      <w:pPr>
        <w:jc w:val="center"/>
        <w:rPr>
          <w:b/>
          <w:bCs/>
          <w:sz w:val="27"/>
          <w:szCs w:val="27"/>
        </w:rPr>
      </w:pPr>
      <w:r>
        <w:rPr>
          <w:b/>
          <w:bCs/>
          <w:sz w:val="27"/>
          <w:szCs w:val="27"/>
        </w:rPr>
        <w:t>VILNIAUS R. EITMINIŠKIŲ PAGRINDINĖ MOKYKLA</w:t>
      </w:r>
    </w:p>
    <w:p w:rsidR="00852A0F" w:rsidRDefault="00852A0F" w:rsidP="00852A0F">
      <w:pPr>
        <w:rPr>
          <w:b/>
          <w:bCs/>
          <w:sz w:val="27"/>
          <w:szCs w:val="27"/>
        </w:rPr>
      </w:pPr>
    </w:p>
    <w:p w:rsidR="00852A0F" w:rsidRPr="007E7950" w:rsidRDefault="00852A0F" w:rsidP="00852A0F">
      <w:pPr>
        <w:jc w:val="center"/>
      </w:pPr>
      <w:r>
        <w:rPr>
          <w:b/>
          <w:bCs/>
          <w:sz w:val="27"/>
          <w:szCs w:val="27"/>
        </w:rPr>
        <w:t>20</w:t>
      </w:r>
      <w:r w:rsidR="00B613B0">
        <w:rPr>
          <w:b/>
          <w:bCs/>
          <w:sz w:val="27"/>
          <w:szCs w:val="27"/>
        </w:rPr>
        <w:t>24</w:t>
      </w:r>
      <w:r w:rsidR="0091031A">
        <w:rPr>
          <w:b/>
          <w:bCs/>
          <w:sz w:val="27"/>
          <w:szCs w:val="27"/>
        </w:rPr>
        <w:t xml:space="preserve"> </w:t>
      </w:r>
      <w:r w:rsidR="00871E6C">
        <w:rPr>
          <w:b/>
          <w:bCs/>
          <w:sz w:val="27"/>
          <w:szCs w:val="27"/>
        </w:rPr>
        <w:t>M</w:t>
      </w:r>
      <w:r>
        <w:rPr>
          <w:b/>
          <w:bCs/>
          <w:sz w:val="27"/>
          <w:szCs w:val="27"/>
        </w:rPr>
        <w:t>. KVALIFIKACIJOS TOBULINIMO PROGRAMA</w:t>
      </w:r>
    </w:p>
    <w:p w:rsidR="00852A0F" w:rsidRPr="007E7950" w:rsidRDefault="00852A0F" w:rsidP="00852A0F">
      <w:pPr>
        <w:jc w:val="center"/>
      </w:pPr>
      <w:r>
        <w:rPr>
          <w:sz w:val="27"/>
          <w:szCs w:val="27"/>
        </w:rPr>
        <w:t> </w:t>
      </w:r>
    </w:p>
    <w:p w:rsidR="00852A0F" w:rsidRPr="007E7950" w:rsidRDefault="00852A0F" w:rsidP="00852A0F">
      <w:r>
        <w:rPr>
          <w:b/>
          <w:bCs/>
          <w:sz w:val="27"/>
          <w:szCs w:val="27"/>
        </w:rPr>
        <w:t> </w:t>
      </w:r>
    </w:p>
    <w:p w:rsidR="00852A0F" w:rsidRPr="007E7950" w:rsidRDefault="00852A0F" w:rsidP="00852A0F">
      <w:r>
        <w:rPr>
          <w:b/>
          <w:bCs/>
          <w:sz w:val="28"/>
          <w:szCs w:val="28"/>
        </w:rPr>
        <w:t>1. Programos pristatymas.</w:t>
      </w:r>
    </w:p>
    <w:p w:rsidR="00852A0F" w:rsidRPr="007E7950" w:rsidRDefault="00852A0F" w:rsidP="00852A0F">
      <w:r>
        <w:t> </w:t>
      </w:r>
    </w:p>
    <w:p w:rsidR="00852A0F" w:rsidRPr="007E7950" w:rsidRDefault="00852A0F" w:rsidP="00852A0F">
      <w:r>
        <w:t>Programa skirta vadovų, mokytojų ir darbuotojų bendrųjų ir profesinių kompetencijų plėtojimui, atestacijai, bendradarbiavimui, patirties sklaidai, informacinės pagalbos teikimui.</w:t>
      </w:r>
    </w:p>
    <w:p w:rsidR="00852A0F" w:rsidRDefault="00852A0F" w:rsidP="00852A0F">
      <w:r>
        <w:t>  </w:t>
      </w:r>
    </w:p>
    <w:p w:rsidR="00852A0F" w:rsidRDefault="00852A0F" w:rsidP="00852A0F">
      <w:pPr>
        <w:rPr>
          <w:lang w:val="en-US"/>
        </w:rPr>
      </w:pPr>
      <w:r>
        <w:rPr>
          <w:b/>
          <w:bCs/>
          <w:sz w:val="28"/>
          <w:szCs w:val="28"/>
        </w:rPr>
        <w:t>2.Programos trukmė.</w:t>
      </w:r>
    </w:p>
    <w:p w:rsidR="00852A0F" w:rsidRDefault="00852A0F" w:rsidP="00852A0F">
      <w:pPr>
        <w:rPr>
          <w:lang w:val="en-US"/>
        </w:rPr>
      </w:pPr>
      <w:r>
        <w:t> </w:t>
      </w:r>
    </w:p>
    <w:p w:rsidR="00852A0F" w:rsidRDefault="00852A0F" w:rsidP="00852A0F">
      <w:pPr>
        <w:rPr>
          <w:lang w:val="en-US"/>
        </w:rPr>
      </w:pPr>
      <w:r>
        <w:t>20</w:t>
      </w:r>
      <w:r w:rsidR="00B613B0">
        <w:t>24</w:t>
      </w:r>
      <w:r w:rsidR="0091031A">
        <w:t xml:space="preserve"> </w:t>
      </w:r>
      <w:r>
        <w:t>metai.</w:t>
      </w:r>
    </w:p>
    <w:p w:rsidR="00852A0F" w:rsidRPr="0097071F" w:rsidRDefault="00852A0F" w:rsidP="00852A0F">
      <w:pPr>
        <w:rPr>
          <w:lang w:val="en-US"/>
        </w:rPr>
      </w:pPr>
    </w:p>
    <w:p w:rsidR="00852A0F" w:rsidRPr="0097071F" w:rsidRDefault="00852A0F" w:rsidP="00852A0F">
      <w:pPr>
        <w:rPr>
          <w:lang w:val="en-US"/>
        </w:rPr>
      </w:pPr>
      <w:r>
        <w:rPr>
          <w:b/>
          <w:bCs/>
          <w:sz w:val="28"/>
          <w:szCs w:val="28"/>
        </w:rPr>
        <w:t>3. Programos pagrindimas.</w:t>
      </w:r>
    </w:p>
    <w:p w:rsidR="00852A0F" w:rsidRPr="0097071F" w:rsidRDefault="00852A0F" w:rsidP="00852A0F">
      <w:pPr>
        <w:rPr>
          <w:lang w:val="en-US"/>
        </w:rPr>
      </w:pPr>
      <w:r>
        <w:t> </w:t>
      </w:r>
    </w:p>
    <w:p w:rsidR="00852A0F" w:rsidRDefault="00852A0F" w:rsidP="00852A0F">
      <w:r>
        <w:t xml:space="preserve">ŠMM dokumentai, </w:t>
      </w:r>
      <w:r w:rsidR="006800C4">
        <w:t>LR Švietimo įstatymas</w:t>
      </w:r>
      <w:r w:rsidR="0055652C">
        <w:t>,</w:t>
      </w:r>
      <w:r w:rsidR="006800C4">
        <w:t xml:space="preserve"> </w:t>
      </w:r>
      <w:r>
        <w:t>mokytojų atestacijos nuostatai, mokyklos nuostatai, mokyklos veiklos planas, mokyklos strateginis planas.</w:t>
      </w:r>
    </w:p>
    <w:p w:rsidR="00852A0F" w:rsidRPr="0097071F" w:rsidRDefault="00852A0F" w:rsidP="00852A0F">
      <w:r>
        <w:t> </w:t>
      </w:r>
    </w:p>
    <w:p w:rsidR="00852A0F" w:rsidRPr="0097071F" w:rsidRDefault="00852A0F" w:rsidP="00852A0F">
      <w:r>
        <w:rPr>
          <w:b/>
          <w:bCs/>
          <w:sz w:val="28"/>
          <w:szCs w:val="28"/>
        </w:rPr>
        <w:t>4. Programos tikslai.</w:t>
      </w:r>
    </w:p>
    <w:p w:rsidR="00852A0F" w:rsidRPr="0097071F" w:rsidRDefault="00852A0F" w:rsidP="00852A0F">
      <w:r>
        <w:t> </w:t>
      </w:r>
    </w:p>
    <w:p w:rsidR="00852A0F" w:rsidRPr="0097071F" w:rsidRDefault="00852A0F" w:rsidP="00852A0F">
      <w:r>
        <w:t>4.1. Sudaryti sąlygas plėtoti ir tobulinti mokyklos mokytojų kvalifikaciją, atitinkančią šalies švietimo politiką ir mokyklos veiklos prioritetus.</w:t>
      </w:r>
    </w:p>
    <w:p w:rsidR="00852A0F" w:rsidRPr="00E9487C" w:rsidRDefault="00852A0F" w:rsidP="00852A0F">
      <w:r>
        <w:t>4.2. Skleisti švietimo idėjas, pedagogikos mokslo naujoves, pažangią šalies ir mokyklos mokytojų patirtį mokyklos bendruomenei.</w:t>
      </w:r>
    </w:p>
    <w:p w:rsidR="00852A0F" w:rsidRPr="00E9487C" w:rsidRDefault="00852A0F" w:rsidP="00852A0F">
      <w:r>
        <w:t>4.3. Siekiant ugdymo proceso kokybės gerinimo, plėtoti mokytojų bendradarbiavimą, dalinimąsi gerąja patirtimi.</w:t>
      </w:r>
    </w:p>
    <w:p w:rsidR="00852A0F" w:rsidRPr="00E9487C" w:rsidRDefault="00852A0F" w:rsidP="00852A0F">
      <w:r>
        <w:t>4.4. Skatinti mokytojus vertinti ugdymo kokybę mokykloje bei savo pedagoginę veiklą.</w:t>
      </w:r>
    </w:p>
    <w:p w:rsidR="00852A0F" w:rsidRDefault="00852A0F" w:rsidP="00852A0F">
      <w:r>
        <w:t> </w:t>
      </w:r>
    </w:p>
    <w:p w:rsidR="00852A0F" w:rsidRDefault="00852A0F" w:rsidP="00852A0F">
      <w:pPr>
        <w:rPr>
          <w:b/>
          <w:sz w:val="28"/>
          <w:szCs w:val="28"/>
        </w:rPr>
      </w:pPr>
      <w:r w:rsidRPr="0097071F">
        <w:rPr>
          <w:b/>
          <w:sz w:val="28"/>
          <w:szCs w:val="28"/>
        </w:rPr>
        <w:t>5. Prioritetinės kvalifikacijos tobulinimo krypty</w:t>
      </w:r>
      <w:r>
        <w:rPr>
          <w:b/>
          <w:sz w:val="28"/>
          <w:szCs w:val="28"/>
        </w:rPr>
        <w:t>s</w:t>
      </w:r>
      <w:r w:rsidRPr="0097071F">
        <w:rPr>
          <w:b/>
          <w:sz w:val="28"/>
          <w:szCs w:val="28"/>
        </w:rPr>
        <w:t xml:space="preserve"> 20</w:t>
      </w:r>
      <w:r w:rsidR="00B613B0">
        <w:rPr>
          <w:b/>
          <w:sz w:val="28"/>
          <w:szCs w:val="28"/>
        </w:rPr>
        <w:t>24</w:t>
      </w:r>
      <w:r w:rsidRPr="0097071F">
        <w:rPr>
          <w:b/>
          <w:sz w:val="28"/>
          <w:szCs w:val="28"/>
        </w:rPr>
        <w:t xml:space="preserve"> metams</w:t>
      </w:r>
      <w:r>
        <w:rPr>
          <w:b/>
          <w:sz w:val="28"/>
          <w:szCs w:val="28"/>
        </w:rPr>
        <w:t>.</w:t>
      </w:r>
    </w:p>
    <w:p w:rsidR="00852A0F" w:rsidRDefault="00852A0F" w:rsidP="00852A0F"/>
    <w:p w:rsidR="00B613B0" w:rsidRPr="00182CE9" w:rsidRDefault="00B613B0" w:rsidP="00B613B0">
      <w:pPr>
        <w:jc w:val="both"/>
        <w:rPr>
          <w:rFonts w:eastAsia="Calibri"/>
        </w:rPr>
      </w:pPr>
      <w:r>
        <w:rPr>
          <w:rFonts w:eastAsia="Calibri"/>
        </w:rPr>
        <w:t xml:space="preserve">5.1. </w:t>
      </w:r>
      <w:r w:rsidRPr="00182CE9">
        <w:rPr>
          <w:rFonts w:eastAsia="Calibri"/>
        </w:rPr>
        <w:t xml:space="preserve">Telkiant mokyklos bendruomenę, gerinti </w:t>
      </w:r>
      <w:proofErr w:type="spellStart"/>
      <w:r w:rsidRPr="00182CE9">
        <w:rPr>
          <w:rFonts w:eastAsia="Calibri"/>
        </w:rPr>
        <w:t>ugdymo(si</w:t>
      </w:r>
      <w:proofErr w:type="spellEnd"/>
      <w:r w:rsidRPr="00182CE9">
        <w:rPr>
          <w:rFonts w:eastAsia="Calibri"/>
        </w:rPr>
        <w:t>) kokybę.</w:t>
      </w:r>
    </w:p>
    <w:p w:rsidR="00B613B0" w:rsidRPr="00182CE9" w:rsidRDefault="00B613B0" w:rsidP="00B613B0">
      <w:pPr>
        <w:jc w:val="both"/>
        <w:rPr>
          <w:rFonts w:eastAsia="Calibri"/>
        </w:rPr>
      </w:pPr>
      <w:r>
        <w:rPr>
          <w:rFonts w:eastAsia="Calibri"/>
        </w:rPr>
        <w:t>5.</w:t>
      </w:r>
      <w:r>
        <w:rPr>
          <w:rFonts w:eastAsia="Calibri"/>
        </w:rPr>
        <w:t>2</w:t>
      </w:r>
      <w:r w:rsidRPr="00182CE9">
        <w:rPr>
          <w:rFonts w:eastAsia="Calibri"/>
        </w:rPr>
        <w:t>. Stiprinti  emocinį  saugumą,  socialinę  bei  pilietinę  atsakomybę  ir bendradarbiavimą.</w:t>
      </w:r>
    </w:p>
    <w:p w:rsidR="00B613B0" w:rsidRPr="00182CE9" w:rsidRDefault="00B613B0" w:rsidP="00B613B0">
      <w:pPr>
        <w:jc w:val="both"/>
        <w:rPr>
          <w:rFonts w:eastAsia="Calibri"/>
        </w:rPr>
      </w:pPr>
      <w:r>
        <w:rPr>
          <w:rFonts w:eastAsia="Calibri"/>
        </w:rPr>
        <w:t>5.</w:t>
      </w:r>
      <w:r w:rsidRPr="008701D2">
        <w:rPr>
          <w:rFonts w:eastAsia="Calibri"/>
        </w:rPr>
        <w:t>3</w:t>
      </w:r>
      <w:r w:rsidRPr="008701D2">
        <w:rPr>
          <w:rFonts w:eastAsia="Calibri"/>
          <w:bCs/>
        </w:rPr>
        <w:t>.</w:t>
      </w:r>
      <w:r w:rsidRPr="00182CE9">
        <w:rPr>
          <w:rFonts w:eastAsia="Calibri"/>
          <w:bCs/>
        </w:rPr>
        <w:t xml:space="preserve"> </w:t>
      </w:r>
      <w:r w:rsidRPr="00182CE9">
        <w:rPr>
          <w:rFonts w:eastAsia="Calibri"/>
        </w:rPr>
        <w:t>Mokyklos prestižo kėlimas.</w:t>
      </w:r>
    </w:p>
    <w:p w:rsidR="00B613B0" w:rsidRDefault="00B613B0" w:rsidP="00C8032C">
      <w:pPr>
        <w:rPr>
          <w:b/>
          <w:noProof/>
          <w:sz w:val="28"/>
          <w:szCs w:val="28"/>
        </w:rPr>
      </w:pPr>
    </w:p>
    <w:p w:rsidR="00C8032C" w:rsidRDefault="00C8032C" w:rsidP="00C8032C">
      <w:pPr>
        <w:rPr>
          <w:b/>
          <w:noProof/>
          <w:sz w:val="28"/>
          <w:szCs w:val="28"/>
        </w:rPr>
      </w:pPr>
      <w:r w:rsidRPr="00C8032C">
        <w:rPr>
          <w:b/>
          <w:noProof/>
          <w:sz w:val="28"/>
          <w:szCs w:val="28"/>
        </w:rPr>
        <w:t>6. Kvalifikacijos tobulinimo formos:</w:t>
      </w:r>
    </w:p>
    <w:p w:rsidR="00C8032C" w:rsidRDefault="00C8032C" w:rsidP="00C8032C">
      <w:pPr>
        <w:pStyle w:val="a5"/>
        <w:spacing w:before="0" w:beforeAutospacing="0" w:after="0" w:afterAutospacing="0"/>
        <w:jc w:val="both"/>
        <w:rPr>
          <w:b/>
          <w:noProof/>
          <w:sz w:val="28"/>
          <w:szCs w:val="28"/>
          <w:lang w:val="lt-LT" w:eastAsia="lt-LT"/>
        </w:rPr>
      </w:pPr>
    </w:p>
    <w:p w:rsidR="00C8032C" w:rsidRDefault="00C8032C" w:rsidP="00C8032C">
      <w:pPr>
        <w:pStyle w:val="a5"/>
        <w:spacing w:before="0" w:beforeAutospacing="0" w:after="0" w:afterAutospacing="0"/>
        <w:jc w:val="both"/>
        <w:rPr>
          <w:noProof/>
          <w:lang w:val="lt-LT"/>
        </w:rPr>
      </w:pPr>
      <w:r w:rsidRPr="00C8032C">
        <w:rPr>
          <w:noProof/>
          <w:lang w:val="lt-LT"/>
        </w:rPr>
        <w:t>Individualus tobulinimasis, kolegialus dalijimasis patirtimi, specializuoti renginiai (kursai, seminarai,   mokymai, praktikos), viešoji nedarbinė veikla (visuomeninė, kultūrinė, meninė raiška, dalyvavimas nevyriausybinėse organizacijose, socialinėse akcijose ir programose, dalyvavimas meno kolektyvuose ir kūrybiniuose projektuose).</w:t>
      </w:r>
    </w:p>
    <w:p w:rsidR="00C8032C" w:rsidRDefault="00C8032C" w:rsidP="00C8032C">
      <w:pPr>
        <w:pStyle w:val="a5"/>
        <w:spacing w:before="0" w:beforeAutospacing="0" w:after="0" w:afterAutospacing="0"/>
        <w:jc w:val="both"/>
        <w:rPr>
          <w:noProof/>
          <w:lang w:val="lt-LT"/>
        </w:rPr>
      </w:pPr>
    </w:p>
    <w:p w:rsidR="00C8032C" w:rsidRDefault="00C8032C" w:rsidP="00C8032C">
      <w:pPr>
        <w:pStyle w:val="a5"/>
        <w:spacing w:before="0" w:beforeAutospacing="0" w:after="0" w:afterAutospacing="0"/>
        <w:jc w:val="both"/>
        <w:rPr>
          <w:noProof/>
          <w:lang w:val="lt-LT"/>
        </w:rPr>
      </w:pPr>
    </w:p>
    <w:p w:rsidR="00B613B0" w:rsidRDefault="00B613B0" w:rsidP="00C8032C">
      <w:pPr>
        <w:pStyle w:val="a5"/>
        <w:spacing w:before="0" w:beforeAutospacing="0" w:after="0" w:afterAutospacing="0"/>
        <w:jc w:val="both"/>
        <w:rPr>
          <w:noProof/>
          <w:lang w:val="lt-LT"/>
        </w:rPr>
      </w:pPr>
    </w:p>
    <w:p w:rsidR="00B613B0" w:rsidRDefault="00B613B0" w:rsidP="00C8032C">
      <w:pPr>
        <w:pStyle w:val="a5"/>
        <w:spacing w:before="0" w:beforeAutospacing="0" w:after="0" w:afterAutospacing="0"/>
        <w:jc w:val="both"/>
        <w:rPr>
          <w:noProof/>
          <w:lang w:val="lt-LT"/>
        </w:rPr>
      </w:pPr>
    </w:p>
    <w:p w:rsidR="00B613B0" w:rsidRDefault="00B613B0" w:rsidP="00C8032C">
      <w:pPr>
        <w:pStyle w:val="a5"/>
        <w:spacing w:before="0" w:beforeAutospacing="0" w:after="0" w:afterAutospacing="0"/>
        <w:jc w:val="both"/>
        <w:rPr>
          <w:noProof/>
          <w:lang w:val="lt-LT"/>
        </w:rPr>
      </w:pPr>
    </w:p>
    <w:p w:rsidR="00C8032C" w:rsidRDefault="00C8032C" w:rsidP="00C8032C">
      <w:pPr>
        <w:pStyle w:val="a5"/>
        <w:spacing w:before="0" w:beforeAutospacing="0" w:after="0" w:afterAutospacing="0"/>
        <w:jc w:val="both"/>
        <w:rPr>
          <w:noProof/>
          <w:lang w:val="lt-LT"/>
        </w:rPr>
      </w:pPr>
    </w:p>
    <w:p w:rsidR="00C8032C" w:rsidRPr="00C8032C" w:rsidRDefault="00C8032C" w:rsidP="00C8032C">
      <w:pPr>
        <w:jc w:val="both"/>
        <w:rPr>
          <w:noProof/>
          <w:sz w:val="28"/>
          <w:szCs w:val="28"/>
        </w:rPr>
      </w:pPr>
      <w:r w:rsidRPr="00C8032C">
        <w:rPr>
          <w:b/>
          <w:noProof/>
          <w:sz w:val="28"/>
          <w:szCs w:val="28"/>
        </w:rPr>
        <w:lastRenderedPageBreak/>
        <w:t>7. Priemonės:</w:t>
      </w:r>
    </w:p>
    <w:p w:rsidR="00C8032C" w:rsidRPr="00BD2731" w:rsidRDefault="00C8032C" w:rsidP="00C8032C">
      <w:pPr>
        <w:jc w:val="both"/>
        <w:rPr>
          <w:b/>
          <w:noProof/>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4050"/>
        <w:gridCol w:w="1350"/>
        <w:gridCol w:w="1530"/>
        <w:gridCol w:w="2401"/>
      </w:tblGrid>
      <w:tr w:rsidR="00C8032C" w:rsidRPr="00CB0D07" w:rsidTr="00A76C01">
        <w:tc>
          <w:tcPr>
            <w:tcW w:w="558" w:type="dxa"/>
          </w:tcPr>
          <w:p w:rsidR="00C8032C" w:rsidRPr="00CB0D07" w:rsidRDefault="00C8032C" w:rsidP="00B34BC0">
            <w:pPr>
              <w:jc w:val="center"/>
              <w:rPr>
                <w:noProof/>
              </w:rPr>
            </w:pPr>
            <w:r w:rsidRPr="00CB0D07">
              <w:rPr>
                <w:noProof/>
              </w:rPr>
              <w:t>Eil. Nr.</w:t>
            </w:r>
          </w:p>
        </w:tc>
        <w:tc>
          <w:tcPr>
            <w:tcW w:w="4050" w:type="dxa"/>
          </w:tcPr>
          <w:p w:rsidR="00C8032C" w:rsidRPr="00CB0D07" w:rsidRDefault="00C8032C" w:rsidP="00B34BC0">
            <w:pPr>
              <w:jc w:val="center"/>
              <w:rPr>
                <w:noProof/>
              </w:rPr>
            </w:pPr>
            <w:r w:rsidRPr="00CB0D07">
              <w:rPr>
                <w:noProof/>
              </w:rPr>
              <w:t>Turinys</w:t>
            </w:r>
          </w:p>
        </w:tc>
        <w:tc>
          <w:tcPr>
            <w:tcW w:w="1350" w:type="dxa"/>
          </w:tcPr>
          <w:p w:rsidR="00C8032C" w:rsidRPr="00CB0D07" w:rsidRDefault="00C8032C" w:rsidP="00B34BC0">
            <w:pPr>
              <w:jc w:val="center"/>
              <w:rPr>
                <w:noProof/>
              </w:rPr>
            </w:pPr>
            <w:r w:rsidRPr="00CB0D07">
              <w:rPr>
                <w:noProof/>
              </w:rPr>
              <w:t>Laikas</w:t>
            </w:r>
          </w:p>
        </w:tc>
        <w:tc>
          <w:tcPr>
            <w:tcW w:w="1530" w:type="dxa"/>
          </w:tcPr>
          <w:p w:rsidR="00C8032C" w:rsidRPr="00CB0D07" w:rsidRDefault="00C8032C" w:rsidP="00B34BC0">
            <w:pPr>
              <w:jc w:val="center"/>
              <w:rPr>
                <w:noProof/>
              </w:rPr>
            </w:pPr>
            <w:r w:rsidRPr="00CB0D07">
              <w:rPr>
                <w:noProof/>
              </w:rPr>
              <w:t>Atsakingi vykdytojai</w:t>
            </w:r>
          </w:p>
        </w:tc>
        <w:tc>
          <w:tcPr>
            <w:tcW w:w="2401" w:type="dxa"/>
          </w:tcPr>
          <w:p w:rsidR="00C8032C" w:rsidRPr="00CB0D07" w:rsidRDefault="00C8032C" w:rsidP="00B34BC0">
            <w:pPr>
              <w:jc w:val="center"/>
              <w:rPr>
                <w:noProof/>
              </w:rPr>
            </w:pPr>
            <w:r w:rsidRPr="00CB0D07">
              <w:rPr>
                <w:noProof/>
              </w:rPr>
              <w:t>Laukiami rezultatai</w:t>
            </w:r>
          </w:p>
        </w:tc>
      </w:tr>
      <w:tr w:rsidR="00C8032C" w:rsidRPr="00CB0D07" w:rsidTr="00A76C01">
        <w:tc>
          <w:tcPr>
            <w:tcW w:w="558" w:type="dxa"/>
            <w:vAlign w:val="center"/>
          </w:tcPr>
          <w:p w:rsidR="00C8032C" w:rsidRPr="00CB0D07" w:rsidRDefault="00C8032C" w:rsidP="00B34BC0">
            <w:pPr>
              <w:jc w:val="center"/>
              <w:rPr>
                <w:noProof/>
              </w:rPr>
            </w:pPr>
            <w:r w:rsidRPr="00CB0D07">
              <w:rPr>
                <w:noProof/>
              </w:rPr>
              <w:t>1</w:t>
            </w:r>
          </w:p>
        </w:tc>
        <w:tc>
          <w:tcPr>
            <w:tcW w:w="4050" w:type="dxa"/>
            <w:vAlign w:val="center"/>
          </w:tcPr>
          <w:p w:rsidR="00C8032C" w:rsidRPr="00CB0D07" w:rsidRDefault="00C8032C" w:rsidP="00B34BC0">
            <w:pPr>
              <w:rPr>
                <w:noProof/>
              </w:rPr>
            </w:pPr>
            <w:r w:rsidRPr="00161594">
              <w:rPr>
                <w:noProof/>
              </w:rPr>
              <w:t>Stebėti ir vertinti, kaip mokytojų veikla atitinka turimą kvalifikacinę kategoriją bei skatinti kelti kvalifikacinę kategoriją</w:t>
            </w:r>
          </w:p>
        </w:tc>
        <w:tc>
          <w:tcPr>
            <w:tcW w:w="1350" w:type="dxa"/>
            <w:vAlign w:val="center"/>
          </w:tcPr>
          <w:p w:rsidR="00C8032C" w:rsidRPr="00CB0D07" w:rsidRDefault="00C8032C" w:rsidP="00B34BC0">
            <w:pPr>
              <w:jc w:val="center"/>
              <w:rPr>
                <w:noProof/>
              </w:rPr>
            </w:pPr>
            <w:r>
              <w:rPr>
                <w:noProof/>
              </w:rPr>
              <w:t>Sausis-gruodis</w:t>
            </w:r>
          </w:p>
        </w:tc>
        <w:tc>
          <w:tcPr>
            <w:tcW w:w="1530" w:type="dxa"/>
            <w:vAlign w:val="center"/>
          </w:tcPr>
          <w:p w:rsidR="00C8032C" w:rsidRDefault="00C8032C" w:rsidP="00B34BC0">
            <w:pPr>
              <w:jc w:val="center"/>
              <w:rPr>
                <w:noProof/>
              </w:rPr>
            </w:pPr>
            <w:r>
              <w:rPr>
                <w:noProof/>
              </w:rPr>
              <w:t>R. Kutyš</w:t>
            </w:r>
          </w:p>
          <w:p w:rsidR="00C8032C" w:rsidRPr="00CB0D07" w:rsidRDefault="00C8032C" w:rsidP="00B34BC0">
            <w:pPr>
              <w:jc w:val="center"/>
              <w:rPr>
                <w:noProof/>
              </w:rPr>
            </w:pPr>
          </w:p>
        </w:tc>
        <w:tc>
          <w:tcPr>
            <w:tcW w:w="2401" w:type="dxa"/>
            <w:vAlign w:val="center"/>
          </w:tcPr>
          <w:p w:rsidR="00C8032C" w:rsidRPr="00CB0D07" w:rsidRDefault="00C8032C" w:rsidP="00B34BC0">
            <w:pPr>
              <w:rPr>
                <w:noProof/>
              </w:rPr>
            </w:pPr>
            <w:r w:rsidRPr="00CB0D07">
              <w:rPr>
                <w:noProof/>
              </w:rPr>
              <w:t>Aukšta mokomojo dalyko pamokų kokybė</w:t>
            </w:r>
          </w:p>
        </w:tc>
      </w:tr>
      <w:tr w:rsidR="00C8032C" w:rsidRPr="00CB0D07" w:rsidTr="00A76C01">
        <w:tc>
          <w:tcPr>
            <w:tcW w:w="558" w:type="dxa"/>
            <w:vAlign w:val="center"/>
          </w:tcPr>
          <w:p w:rsidR="00C8032C" w:rsidRPr="00CB0D07" w:rsidRDefault="00C8032C" w:rsidP="00B34BC0">
            <w:pPr>
              <w:jc w:val="center"/>
              <w:rPr>
                <w:noProof/>
              </w:rPr>
            </w:pPr>
            <w:r w:rsidRPr="00CB0D07">
              <w:rPr>
                <w:noProof/>
              </w:rPr>
              <w:t>2</w:t>
            </w:r>
          </w:p>
        </w:tc>
        <w:tc>
          <w:tcPr>
            <w:tcW w:w="4050" w:type="dxa"/>
            <w:vAlign w:val="center"/>
          </w:tcPr>
          <w:p w:rsidR="00C8032C" w:rsidRPr="00CB0D07" w:rsidRDefault="00C8032C" w:rsidP="00B34BC0">
            <w:pPr>
              <w:rPr>
                <w:noProof/>
              </w:rPr>
            </w:pPr>
            <w:r w:rsidRPr="00CB0D07">
              <w:rPr>
                <w:noProof/>
              </w:rPr>
              <w:t>Ištirti mokytojų kvalifikacijos kėlimo poreikius</w:t>
            </w:r>
          </w:p>
        </w:tc>
        <w:tc>
          <w:tcPr>
            <w:tcW w:w="1350" w:type="dxa"/>
            <w:vAlign w:val="center"/>
          </w:tcPr>
          <w:p w:rsidR="00C8032C" w:rsidRPr="00CB0D07" w:rsidRDefault="00C8032C" w:rsidP="00B34BC0">
            <w:pPr>
              <w:jc w:val="center"/>
              <w:rPr>
                <w:noProof/>
              </w:rPr>
            </w:pPr>
            <w:r w:rsidRPr="00CB0D07">
              <w:rPr>
                <w:noProof/>
              </w:rPr>
              <w:t>Gruodis</w:t>
            </w:r>
          </w:p>
        </w:tc>
        <w:tc>
          <w:tcPr>
            <w:tcW w:w="1530" w:type="dxa"/>
            <w:vAlign w:val="center"/>
          </w:tcPr>
          <w:p w:rsidR="00C8032C" w:rsidRPr="00CB0D07" w:rsidRDefault="00B613B0" w:rsidP="00B34BC0">
            <w:pPr>
              <w:jc w:val="center"/>
              <w:rPr>
                <w:b/>
                <w:noProof/>
              </w:rPr>
            </w:pPr>
            <w:r>
              <w:rPr>
                <w:noProof/>
              </w:rPr>
              <w:t>Metodinė taryba</w:t>
            </w:r>
          </w:p>
        </w:tc>
        <w:tc>
          <w:tcPr>
            <w:tcW w:w="2401" w:type="dxa"/>
            <w:vMerge w:val="restart"/>
            <w:vAlign w:val="center"/>
          </w:tcPr>
          <w:p w:rsidR="00C8032C" w:rsidRPr="00CB0D07" w:rsidRDefault="00C8032C" w:rsidP="00B34BC0">
            <w:pPr>
              <w:rPr>
                <w:noProof/>
              </w:rPr>
            </w:pPr>
            <w:r w:rsidRPr="00CB0D07">
              <w:rPr>
                <w:noProof/>
              </w:rPr>
              <w:t>Kvalifikacijos kėlimo prioritetų nustatymas</w:t>
            </w:r>
          </w:p>
        </w:tc>
      </w:tr>
      <w:tr w:rsidR="00C8032C" w:rsidRPr="00CB0D07" w:rsidTr="00A76C01">
        <w:tc>
          <w:tcPr>
            <w:tcW w:w="558" w:type="dxa"/>
            <w:vAlign w:val="center"/>
          </w:tcPr>
          <w:p w:rsidR="00C8032C" w:rsidRPr="00CB0D07" w:rsidRDefault="00C8032C" w:rsidP="00B34BC0">
            <w:pPr>
              <w:jc w:val="center"/>
              <w:rPr>
                <w:noProof/>
              </w:rPr>
            </w:pPr>
            <w:r w:rsidRPr="00CB0D07">
              <w:rPr>
                <w:noProof/>
              </w:rPr>
              <w:t>3</w:t>
            </w:r>
          </w:p>
        </w:tc>
        <w:tc>
          <w:tcPr>
            <w:tcW w:w="4050" w:type="dxa"/>
            <w:vAlign w:val="center"/>
          </w:tcPr>
          <w:p w:rsidR="00C8032C" w:rsidRPr="00CB0D07" w:rsidRDefault="00C8032C" w:rsidP="00B613B0">
            <w:pPr>
              <w:rPr>
                <w:noProof/>
              </w:rPr>
            </w:pPr>
            <w:r w:rsidRPr="00CB0D07">
              <w:rPr>
                <w:noProof/>
              </w:rPr>
              <w:t>Sudaryti 20</w:t>
            </w:r>
            <w:r w:rsidR="00B613B0">
              <w:rPr>
                <w:noProof/>
              </w:rPr>
              <w:t>25</w:t>
            </w:r>
            <w:r w:rsidRPr="00CB0D07">
              <w:rPr>
                <w:noProof/>
              </w:rPr>
              <w:t>–20</w:t>
            </w:r>
            <w:r w:rsidR="00AA125D">
              <w:rPr>
                <w:noProof/>
              </w:rPr>
              <w:t>2</w:t>
            </w:r>
            <w:r w:rsidR="00B613B0">
              <w:rPr>
                <w:noProof/>
              </w:rPr>
              <w:t xml:space="preserve">6  </w:t>
            </w:r>
            <w:r w:rsidRPr="00CB0D07">
              <w:rPr>
                <w:noProof/>
              </w:rPr>
              <w:t>m. mokytojų atestacijos programą</w:t>
            </w:r>
          </w:p>
        </w:tc>
        <w:tc>
          <w:tcPr>
            <w:tcW w:w="1350" w:type="dxa"/>
            <w:vAlign w:val="center"/>
          </w:tcPr>
          <w:p w:rsidR="00C8032C" w:rsidRPr="00CB0D07" w:rsidRDefault="00C8032C" w:rsidP="00B34BC0">
            <w:pPr>
              <w:jc w:val="center"/>
              <w:rPr>
                <w:noProof/>
              </w:rPr>
            </w:pPr>
            <w:r w:rsidRPr="00CB0D07">
              <w:rPr>
                <w:noProof/>
              </w:rPr>
              <w:t>Gruodis</w:t>
            </w:r>
          </w:p>
        </w:tc>
        <w:tc>
          <w:tcPr>
            <w:tcW w:w="1530" w:type="dxa"/>
            <w:vAlign w:val="center"/>
          </w:tcPr>
          <w:p w:rsidR="00C8032C" w:rsidRPr="00CB0D07" w:rsidRDefault="00A76C01" w:rsidP="00B34BC0">
            <w:pPr>
              <w:jc w:val="center"/>
              <w:rPr>
                <w:noProof/>
              </w:rPr>
            </w:pPr>
            <w:r>
              <w:rPr>
                <w:noProof/>
              </w:rPr>
              <w:t>R. Kutyš</w:t>
            </w:r>
          </w:p>
        </w:tc>
        <w:tc>
          <w:tcPr>
            <w:tcW w:w="2401" w:type="dxa"/>
            <w:vMerge/>
            <w:vAlign w:val="center"/>
          </w:tcPr>
          <w:p w:rsidR="00C8032C" w:rsidRPr="00CB0D07" w:rsidRDefault="00C8032C" w:rsidP="00B34BC0">
            <w:pPr>
              <w:rPr>
                <w:noProof/>
              </w:rPr>
            </w:pPr>
          </w:p>
        </w:tc>
      </w:tr>
      <w:tr w:rsidR="00C8032C" w:rsidRPr="00CB0D07" w:rsidTr="00A76C01">
        <w:tc>
          <w:tcPr>
            <w:tcW w:w="558" w:type="dxa"/>
            <w:vAlign w:val="center"/>
          </w:tcPr>
          <w:p w:rsidR="00C8032C" w:rsidRPr="00CB0D07" w:rsidRDefault="00C8032C" w:rsidP="00B34BC0">
            <w:pPr>
              <w:jc w:val="center"/>
              <w:rPr>
                <w:noProof/>
              </w:rPr>
            </w:pPr>
            <w:r w:rsidRPr="00CB0D07">
              <w:rPr>
                <w:noProof/>
              </w:rPr>
              <w:t>4</w:t>
            </w:r>
          </w:p>
        </w:tc>
        <w:tc>
          <w:tcPr>
            <w:tcW w:w="4050" w:type="dxa"/>
            <w:vAlign w:val="center"/>
          </w:tcPr>
          <w:p w:rsidR="00C8032C" w:rsidRPr="00CB0D07" w:rsidRDefault="00C8032C" w:rsidP="00B34BC0">
            <w:pPr>
              <w:rPr>
                <w:noProof/>
              </w:rPr>
            </w:pPr>
            <w:r w:rsidRPr="004B302B">
              <w:rPr>
                <w:noProof/>
              </w:rPr>
              <w:t>Sudaryti sąlygas kelti</w:t>
            </w:r>
            <w:r w:rsidRPr="00CB0D07">
              <w:rPr>
                <w:noProof/>
              </w:rPr>
              <w:t xml:space="preserve"> </w:t>
            </w:r>
            <w:r w:rsidRPr="004B302B">
              <w:rPr>
                <w:noProof/>
              </w:rPr>
              <w:t>kvalifikaciją</w:t>
            </w:r>
            <w:r w:rsidRPr="00CB0D07">
              <w:rPr>
                <w:noProof/>
              </w:rPr>
              <w:t xml:space="preserve"> </w:t>
            </w:r>
            <w:r w:rsidRPr="004B302B">
              <w:rPr>
                <w:noProof/>
              </w:rPr>
              <w:t xml:space="preserve">įvairiomis formomis, dalintis gerąja patirtimi </w:t>
            </w:r>
            <w:r w:rsidRPr="00CB0D07">
              <w:rPr>
                <w:noProof/>
              </w:rPr>
              <w:t>mokykloje</w:t>
            </w:r>
            <w:r w:rsidRPr="004B302B">
              <w:rPr>
                <w:noProof/>
              </w:rPr>
              <w:t xml:space="preserve">, rajone, </w:t>
            </w:r>
            <w:r w:rsidRPr="00CB0D07">
              <w:rPr>
                <w:noProof/>
              </w:rPr>
              <w:t>šalyje</w:t>
            </w:r>
          </w:p>
        </w:tc>
        <w:tc>
          <w:tcPr>
            <w:tcW w:w="1350" w:type="dxa"/>
            <w:vAlign w:val="center"/>
          </w:tcPr>
          <w:p w:rsidR="00C8032C" w:rsidRPr="00CB0D07" w:rsidRDefault="00C8032C" w:rsidP="00B613B0">
            <w:pPr>
              <w:jc w:val="center"/>
              <w:rPr>
                <w:b/>
                <w:noProof/>
              </w:rPr>
            </w:pPr>
            <w:r w:rsidRPr="00CB0D07">
              <w:rPr>
                <w:noProof/>
              </w:rPr>
              <w:t>20</w:t>
            </w:r>
            <w:r w:rsidR="00B613B0">
              <w:rPr>
                <w:noProof/>
              </w:rPr>
              <w:t>24</w:t>
            </w:r>
            <w:r w:rsidRPr="00CB0D07">
              <w:rPr>
                <w:noProof/>
              </w:rPr>
              <w:t xml:space="preserve"> m. </w:t>
            </w:r>
          </w:p>
        </w:tc>
        <w:tc>
          <w:tcPr>
            <w:tcW w:w="1530" w:type="dxa"/>
            <w:vAlign w:val="center"/>
          </w:tcPr>
          <w:p w:rsidR="00C8032C" w:rsidRPr="00CB0D07" w:rsidRDefault="00A76C01" w:rsidP="00B34BC0">
            <w:pPr>
              <w:jc w:val="center"/>
              <w:rPr>
                <w:b/>
                <w:noProof/>
              </w:rPr>
            </w:pPr>
            <w:r>
              <w:rPr>
                <w:noProof/>
              </w:rPr>
              <w:t>R. Kutyš</w:t>
            </w:r>
          </w:p>
        </w:tc>
        <w:tc>
          <w:tcPr>
            <w:tcW w:w="2401" w:type="dxa"/>
            <w:vAlign w:val="center"/>
          </w:tcPr>
          <w:p w:rsidR="00C8032C" w:rsidRPr="00CB0D07" w:rsidRDefault="00C8032C" w:rsidP="00B34BC0">
            <w:pPr>
              <w:rPr>
                <w:noProof/>
              </w:rPr>
            </w:pPr>
            <w:r w:rsidRPr="00CB0D07">
              <w:rPr>
                <w:noProof/>
              </w:rPr>
              <w:t>Gerosios patirties skleidimas</w:t>
            </w:r>
          </w:p>
        </w:tc>
      </w:tr>
      <w:tr w:rsidR="00C8032C" w:rsidRPr="00CB0D07" w:rsidTr="00A76C01">
        <w:tc>
          <w:tcPr>
            <w:tcW w:w="558" w:type="dxa"/>
            <w:vAlign w:val="center"/>
          </w:tcPr>
          <w:p w:rsidR="00C8032C" w:rsidRPr="00CB0D07" w:rsidRDefault="00A76C01" w:rsidP="00B34BC0">
            <w:pPr>
              <w:jc w:val="center"/>
              <w:rPr>
                <w:noProof/>
              </w:rPr>
            </w:pPr>
            <w:r>
              <w:rPr>
                <w:noProof/>
              </w:rPr>
              <w:t>5</w:t>
            </w:r>
          </w:p>
        </w:tc>
        <w:tc>
          <w:tcPr>
            <w:tcW w:w="4050" w:type="dxa"/>
            <w:vAlign w:val="center"/>
          </w:tcPr>
          <w:p w:rsidR="00C8032C" w:rsidRPr="00EF1C28" w:rsidRDefault="00C8032C" w:rsidP="00B34BC0">
            <w:pPr>
              <w:rPr>
                <w:noProof/>
              </w:rPr>
            </w:pPr>
            <w:r w:rsidRPr="00CB0D07">
              <w:rPr>
                <w:noProof/>
              </w:rPr>
              <w:t>Inicijuoti mokytojų bendravimą</w:t>
            </w:r>
            <w:r w:rsidRPr="00EF1C28">
              <w:rPr>
                <w:noProof/>
              </w:rPr>
              <w:t xml:space="preserve"> ir </w:t>
            </w:r>
          </w:p>
          <w:p w:rsidR="00C8032C" w:rsidRPr="00CB0D07" w:rsidRDefault="00C8032C" w:rsidP="00B34BC0">
            <w:pPr>
              <w:rPr>
                <w:noProof/>
              </w:rPr>
            </w:pPr>
            <w:r w:rsidRPr="00CB0D07">
              <w:rPr>
                <w:noProof/>
              </w:rPr>
              <w:t>bendradarbiavimą</w:t>
            </w:r>
            <w:r w:rsidRPr="00EF1C28">
              <w:rPr>
                <w:noProof/>
              </w:rPr>
              <w:t xml:space="preserve"> </w:t>
            </w:r>
          </w:p>
        </w:tc>
        <w:tc>
          <w:tcPr>
            <w:tcW w:w="1350" w:type="dxa"/>
            <w:vAlign w:val="center"/>
          </w:tcPr>
          <w:p w:rsidR="00C8032C" w:rsidRPr="00CB0D07" w:rsidRDefault="00C8032C" w:rsidP="00B613B0">
            <w:pPr>
              <w:jc w:val="center"/>
              <w:rPr>
                <w:b/>
                <w:noProof/>
              </w:rPr>
            </w:pPr>
            <w:r w:rsidRPr="00CB0D07">
              <w:rPr>
                <w:noProof/>
              </w:rPr>
              <w:t>20</w:t>
            </w:r>
            <w:r w:rsidR="00B613B0">
              <w:rPr>
                <w:noProof/>
              </w:rPr>
              <w:t>24</w:t>
            </w:r>
            <w:bookmarkStart w:id="0" w:name="_GoBack"/>
            <w:bookmarkEnd w:id="0"/>
            <w:r w:rsidRPr="00CB0D07">
              <w:rPr>
                <w:noProof/>
              </w:rPr>
              <w:t xml:space="preserve"> m. </w:t>
            </w:r>
          </w:p>
        </w:tc>
        <w:tc>
          <w:tcPr>
            <w:tcW w:w="1530" w:type="dxa"/>
            <w:vAlign w:val="center"/>
          </w:tcPr>
          <w:p w:rsidR="00C8032C" w:rsidRPr="00A76C01" w:rsidRDefault="00A76C01" w:rsidP="00A76C01">
            <w:pPr>
              <w:jc w:val="center"/>
              <w:rPr>
                <w:noProof/>
              </w:rPr>
            </w:pPr>
            <w:r w:rsidRPr="00A76C01">
              <w:rPr>
                <w:noProof/>
              </w:rPr>
              <w:t>Metodinė taryba</w:t>
            </w:r>
          </w:p>
        </w:tc>
        <w:tc>
          <w:tcPr>
            <w:tcW w:w="2401" w:type="dxa"/>
            <w:vAlign w:val="center"/>
          </w:tcPr>
          <w:p w:rsidR="00C8032C" w:rsidRPr="00EF1C28" w:rsidRDefault="00C8032C" w:rsidP="00B34BC0">
            <w:pPr>
              <w:rPr>
                <w:noProof/>
              </w:rPr>
            </w:pPr>
            <w:r w:rsidRPr="00EF1C28">
              <w:rPr>
                <w:noProof/>
              </w:rPr>
              <w:t>Dalijimasis darbo</w:t>
            </w:r>
            <w:r w:rsidRPr="00CB0D07">
              <w:rPr>
                <w:noProof/>
              </w:rPr>
              <w:t xml:space="preserve"> </w:t>
            </w:r>
            <w:r w:rsidRPr="00EF1C28">
              <w:rPr>
                <w:noProof/>
              </w:rPr>
              <w:t xml:space="preserve">patirtimi, vykdoma </w:t>
            </w:r>
          </w:p>
          <w:p w:rsidR="00C8032C" w:rsidRPr="00CB0D07" w:rsidRDefault="00C8032C" w:rsidP="00B34BC0">
            <w:pPr>
              <w:rPr>
                <w:noProof/>
              </w:rPr>
            </w:pPr>
            <w:r w:rsidRPr="00CB0D07">
              <w:rPr>
                <w:noProof/>
              </w:rPr>
              <w:t>sklaida</w:t>
            </w:r>
          </w:p>
        </w:tc>
      </w:tr>
      <w:tr w:rsidR="00C8032C" w:rsidRPr="00CB0D07" w:rsidTr="00A76C01">
        <w:tc>
          <w:tcPr>
            <w:tcW w:w="558" w:type="dxa"/>
            <w:vAlign w:val="center"/>
          </w:tcPr>
          <w:p w:rsidR="00C8032C" w:rsidRPr="00CB0D07" w:rsidRDefault="00A76C01" w:rsidP="00B34BC0">
            <w:pPr>
              <w:jc w:val="center"/>
              <w:rPr>
                <w:noProof/>
              </w:rPr>
            </w:pPr>
            <w:r>
              <w:rPr>
                <w:noProof/>
              </w:rPr>
              <w:t>6</w:t>
            </w:r>
          </w:p>
        </w:tc>
        <w:tc>
          <w:tcPr>
            <w:tcW w:w="4050" w:type="dxa"/>
            <w:vAlign w:val="center"/>
          </w:tcPr>
          <w:p w:rsidR="00C8032C" w:rsidRPr="000C61D7" w:rsidRDefault="00C8032C" w:rsidP="00B34BC0">
            <w:pPr>
              <w:rPr>
                <w:noProof/>
              </w:rPr>
            </w:pPr>
            <w:r w:rsidRPr="000C61D7">
              <w:rPr>
                <w:noProof/>
              </w:rPr>
              <w:t>Aptarimas, kaip kvalifikacijos</w:t>
            </w:r>
          </w:p>
          <w:p w:rsidR="00C8032C" w:rsidRPr="00CB0D07" w:rsidRDefault="00C8032C" w:rsidP="00B34BC0">
            <w:pPr>
              <w:rPr>
                <w:noProof/>
              </w:rPr>
            </w:pPr>
            <w:r w:rsidRPr="000C61D7">
              <w:rPr>
                <w:noProof/>
              </w:rPr>
              <w:t xml:space="preserve">tobulinimas, naujovių bei gerosios patirties sklaida įtakoja mokinių mokymosi pasiekimų </w:t>
            </w:r>
            <w:r w:rsidRPr="00CB0D07">
              <w:rPr>
                <w:noProof/>
              </w:rPr>
              <w:t>gerinimą</w:t>
            </w:r>
          </w:p>
        </w:tc>
        <w:tc>
          <w:tcPr>
            <w:tcW w:w="1350" w:type="dxa"/>
            <w:vAlign w:val="center"/>
          </w:tcPr>
          <w:p w:rsidR="00C8032C" w:rsidRPr="00CB0D07" w:rsidRDefault="00A76C01" w:rsidP="00B34BC0">
            <w:pPr>
              <w:jc w:val="center"/>
              <w:rPr>
                <w:b/>
                <w:noProof/>
              </w:rPr>
            </w:pPr>
            <w:r>
              <w:rPr>
                <w:noProof/>
              </w:rPr>
              <w:t xml:space="preserve">Birželis </w:t>
            </w:r>
          </w:p>
        </w:tc>
        <w:tc>
          <w:tcPr>
            <w:tcW w:w="1530" w:type="dxa"/>
            <w:vAlign w:val="center"/>
          </w:tcPr>
          <w:p w:rsidR="00C8032C" w:rsidRPr="00CB0D07" w:rsidRDefault="00C8032C" w:rsidP="00B34BC0">
            <w:pPr>
              <w:jc w:val="center"/>
              <w:rPr>
                <w:noProof/>
              </w:rPr>
            </w:pPr>
            <w:r w:rsidRPr="00CB0D07">
              <w:rPr>
                <w:noProof/>
              </w:rPr>
              <w:t>Mokytojų taryba</w:t>
            </w:r>
          </w:p>
        </w:tc>
        <w:tc>
          <w:tcPr>
            <w:tcW w:w="2401" w:type="dxa"/>
            <w:vAlign w:val="center"/>
          </w:tcPr>
          <w:p w:rsidR="00C8032C" w:rsidRPr="00094725" w:rsidRDefault="00C8032C" w:rsidP="00B34BC0">
            <w:pPr>
              <w:rPr>
                <w:noProof/>
              </w:rPr>
            </w:pPr>
            <w:r w:rsidRPr="00094725">
              <w:rPr>
                <w:noProof/>
              </w:rPr>
              <w:t>Pagerės mokinių</w:t>
            </w:r>
          </w:p>
          <w:p w:rsidR="00C8032C" w:rsidRPr="00094725" w:rsidRDefault="00C8032C" w:rsidP="00B34BC0">
            <w:pPr>
              <w:rPr>
                <w:noProof/>
              </w:rPr>
            </w:pPr>
            <w:r w:rsidRPr="00094725">
              <w:rPr>
                <w:noProof/>
              </w:rPr>
              <w:t>mokymosi pasiekima</w:t>
            </w:r>
            <w:r w:rsidRPr="00CB0D07">
              <w:rPr>
                <w:noProof/>
              </w:rPr>
              <w:t>i</w:t>
            </w:r>
          </w:p>
          <w:p w:rsidR="00C8032C" w:rsidRPr="00CB0D07" w:rsidRDefault="00C8032C" w:rsidP="00B34BC0">
            <w:pPr>
              <w:rPr>
                <w:b/>
                <w:noProof/>
              </w:rPr>
            </w:pPr>
          </w:p>
        </w:tc>
      </w:tr>
    </w:tbl>
    <w:p w:rsidR="00C8032C" w:rsidRPr="00C8032C" w:rsidRDefault="00C8032C" w:rsidP="00C8032C">
      <w:pPr>
        <w:pStyle w:val="a5"/>
        <w:spacing w:before="0" w:beforeAutospacing="0" w:after="0" w:afterAutospacing="0"/>
        <w:jc w:val="both"/>
        <w:rPr>
          <w:noProof/>
          <w:lang w:val="lt-LT"/>
        </w:rPr>
      </w:pPr>
    </w:p>
    <w:p w:rsidR="00852A0F" w:rsidRDefault="00852A0F" w:rsidP="00852A0F">
      <w:pPr>
        <w:rPr>
          <w:b/>
          <w:bCs/>
          <w:sz w:val="28"/>
          <w:szCs w:val="28"/>
        </w:rPr>
      </w:pPr>
    </w:p>
    <w:p w:rsidR="00852A0F" w:rsidRPr="001A7B7D" w:rsidRDefault="00852A0F" w:rsidP="00852A0F">
      <w:r>
        <w:rPr>
          <w:b/>
          <w:bCs/>
          <w:sz w:val="28"/>
          <w:szCs w:val="28"/>
        </w:rPr>
        <w:t>8. Kvalifikacijos programos aprobavimas ir tvirtinimas</w:t>
      </w:r>
    </w:p>
    <w:p w:rsidR="00852A0F" w:rsidRPr="001A7B7D" w:rsidRDefault="00852A0F" w:rsidP="00852A0F">
      <w:r>
        <w:t> </w:t>
      </w:r>
    </w:p>
    <w:p w:rsidR="00852A0F" w:rsidRPr="001A7B7D" w:rsidRDefault="00852A0F" w:rsidP="00852A0F">
      <w:r>
        <w:t>Kvalifikacijos tobulinimo programa apsvarstoma metodinėse grupėse, metodinėje taryboje ir tvirtinama mokyklos direktoriaus.</w:t>
      </w:r>
    </w:p>
    <w:p w:rsidR="00852A0F" w:rsidRPr="001A7B7D" w:rsidRDefault="00852A0F" w:rsidP="00852A0F"/>
    <w:p w:rsidR="00852A0F" w:rsidRDefault="00852A0F" w:rsidP="00852A0F"/>
    <w:p w:rsidR="00852A0F" w:rsidRDefault="00852A0F" w:rsidP="00852A0F">
      <w:pPr>
        <w:jc w:val="center"/>
      </w:pPr>
      <w:r>
        <w:t>__________________________</w:t>
      </w:r>
    </w:p>
    <w:p w:rsidR="00852A0F" w:rsidRDefault="00852A0F" w:rsidP="00852A0F"/>
    <w:p w:rsidR="00F21220" w:rsidRDefault="00F21220"/>
    <w:sectPr w:rsidR="00F2122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85ECC"/>
    <w:multiLevelType w:val="hybridMultilevel"/>
    <w:tmpl w:val="C2E2EE0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211"/>
        </w:tabs>
        <w:ind w:left="1211"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568F675C"/>
    <w:multiLevelType w:val="hybridMultilevel"/>
    <w:tmpl w:val="43BE39D0"/>
    <w:lvl w:ilvl="0" w:tplc="4CE6A8EE">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Override w:ilvl="1">
      <w:startOverride w:val="1"/>
    </w:lvlOverride>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A0F"/>
    <w:rsid w:val="0021081F"/>
    <w:rsid w:val="003509E6"/>
    <w:rsid w:val="003A17F4"/>
    <w:rsid w:val="003B7B9E"/>
    <w:rsid w:val="003F5291"/>
    <w:rsid w:val="00483CE6"/>
    <w:rsid w:val="0055652C"/>
    <w:rsid w:val="00587B21"/>
    <w:rsid w:val="006800C4"/>
    <w:rsid w:val="0073213C"/>
    <w:rsid w:val="007E1FBE"/>
    <w:rsid w:val="007E7950"/>
    <w:rsid w:val="00852A0F"/>
    <w:rsid w:val="00871E6C"/>
    <w:rsid w:val="0091031A"/>
    <w:rsid w:val="00A76C01"/>
    <w:rsid w:val="00AA125D"/>
    <w:rsid w:val="00B613B0"/>
    <w:rsid w:val="00C8032C"/>
    <w:rsid w:val="00C81AC5"/>
    <w:rsid w:val="00CC4213"/>
    <w:rsid w:val="00CE3C85"/>
    <w:rsid w:val="00E53E62"/>
    <w:rsid w:val="00E643C1"/>
    <w:rsid w:val="00F21220"/>
    <w:rsid w:val="00F33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A0F"/>
    <w:pPr>
      <w:spacing w:after="0" w:line="240" w:lineRule="auto"/>
    </w:pPr>
    <w:rPr>
      <w:rFonts w:ascii="Times New Roman" w:eastAsia="Times New Roman" w:hAnsi="Times New Roman" w:cs="Times New Roman"/>
      <w:sz w:val="24"/>
      <w:szCs w:val="24"/>
      <w:lang w:val="lt-LT" w:eastAsia="lt-L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1E6C"/>
    <w:rPr>
      <w:rFonts w:ascii="Tahoma" w:hAnsi="Tahoma" w:cs="Tahoma"/>
      <w:sz w:val="16"/>
      <w:szCs w:val="16"/>
    </w:rPr>
  </w:style>
  <w:style w:type="character" w:customStyle="1" w:styleId="a4">
    <w:name w:val="Текст выноски Знак"/>
    <w:basedOn w:val="a0"/>
    <w:link w:val="a3"/>
    <w:uiPriority w:val="99"/>
    <w:semiHidden/>
    <w:rsid w:val="00871E6C"/>
    <w:rPr>
      <w:rFonts w:ascii="Tahoma" w:eastAsia="Times New Roman" w:hAnsi="Tahoma" w:cs="Tahoma"/>
      <w:sz w:val="16"/>
      <w:szCs w:val="16"/>
      <w:lang w:val="lt-LT" w:eastAsia="lt-LT"/>
    </w:rPr>
  </w:style>
  <w:style w:type="paragraph" w:styleId="a5">
    <w:name w:val="Normal (Web)"/>
    <w:basedOn w:val="a"/>
    <w:uiPriority w:val="99"/>
    <w:unhideWhenUsed/>
    <w:rsid w:val="00C8032C"/>
    <w:pPr>
      <w:spacing w:before="100" w:beforeAutospacing="1" w:after="100" w:afterAutospacing="1"/>
    </w:pPr>
    <w:rPr>
      <w:lang w:val="en-US" w:eastAsia="en-US"/>
    </w:rPr>
  </w:style>
  <w:style w:type="paragraph" w:styleId="a6">
    <w:name w:val="List Paragraph"/>
    <w:basedOn w:val="a"/>
    <w:uiPriority w:val="34"/>
    <w:qFormat/>
    <w:rsid w:val="0073213C"/>
    <w:pPr>
      <w:spacing w:after="200" w:line="276" w:lineRule="auto"/>
      <w:ind w:left="720"/>
      <w:contextualSpacing/>
    </w:pPr>
    <w:rPr>
      <w:rFonts w:asciiTheme="minorHAnsi" w:eastAsiaTheme="minorHAnsi" w:hAnsiTheme="minorHAnsi" w:cstheme="minorBidi"/>
      <w:sz w:val="22"/>
      <w:szCs w:val="22"/>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A0F"/>
    <w:pPr>
      <w:spacing w:after="0" w:line="240" w:lineRule="auto"/>
    </w:pPr>
    <w:rPr>
      <w:rFonts w:ascii="Times New Roman" w:eastAsia="Times New Roman" w:hAnsi="Times New Roman" w:cs="Times New Roman"/>
      <w:sz w:val="24"/>
      <w:szCs w:val="24"/>
      <w:lang w:val="lt-LT" w:eastAsia="lt-L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1E6C"/>
    <w:rPr>
      <w:rFonts w:ascii="Tahoma" w:hAnsi="Tahoma" w:cs="Tahoma"/>
      <w:sz w:val="16"/>
      <w:szCs w:val="16"/>
    </w:rPr>
  </w:style>
  <w:style w:type="character" w:customStyle="1" w:styleId="a4">
    <w:name w:val="Текст выноски Знак"/>
    <w:basedOn w:val="a0"/>
    <w:link w:val="a3"/>
    <w:uiPriority w:val="99"/>
    <w:semiHidden/>
    <w:rsid w:val="00871E6C"/>
    <w:rPr>
      <w:rFonts w:ascii="Tahoma" w:eastAsia="Times New Roman" w:hAnsi="Tahoma" w:cs="Tahoma"/>
      <w:sz w:val="16"/>
      <w:szCs w:val="16"/>
      <w:lang w:val="lt-LT" w:eastAsia="lt-LT"/>
    </w:rPr>
  </w:style>
  <w:style w:type="paragraph" w:styleId="a5">
    <w:name w:val="Normal (Web)"/>
    <w:basedOn w:val="a"/>
    <w:uiPriority w:val="99"/>
    <w:unhideWhenUsed/>
    <w:rsid w:val="00C8032C"/>
    <w:pPr>
      <w:spacing w:before="100" w:beforeAutospacing="1" w:after="100" w:afterAutospacing="1"/>
    </w:pPr>
    <w:rPr>
      <w:lang w:val="en-US" w:eastAsia="en-US"/>
    </w:rPr>
  </w:style>
  <w:style w:type="paragraph" w:styleId="a6">
    <w:name w:val="List Paragraph"/>
    <w:basedOn w:val="a"/>
    <w:uiPriority w:val="34"/>
    <w:qFormat/>
    <w:rsid w:val="0073213C"/>
    <w:pPr>
      <w:spacing w:after="200" w:line="276" w:lineRule="auto"/>
      <w:ind w:left="720"/>
      <w:contextualSpacing/>
    </w:pPr>
    <w:rPr>
      <w:rFonts w:asciiTheme="minorHAnsi" w:eastAsiaTheme="minorHAnsi" w:hAnsiTheme="minorHAnsi" w:cstheme="minorBid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79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0FE4D-9459-497B-AF0D-D5A1D3353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2</Pages>
  <Words>418</Words>
  <Characters>2389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Bozena</cp:lastModifiedBy>
  <cp:revision>22</cp:revision>
  <cp:lastPrinted>2016-11-09T08:30:00Z</cp:lastPrinted>
  <dcterms:created xsi:type="dcterms:W3CDTF">2016-01-22T11:28:00Z</dcterms:created>
  <dcterms:modified xsi:type="dcterms:W3CDTF">2024-04-04T12:11:00Z</dcterms:modified>
</cp:coreProperties>
</file>