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E4" w:rsidRPr="006A712F" w:rsidRDefault="00FC1BE4" w:rsidP="006A712F">
      <w:pPr>
        <w:jc w:val="center"/>
        <w:rPr>
          <w:rFonts w:ascii="Times New Roman" w:hAnsi="Times New Roman" w:cs="Times New Roman"/>
          <w:b/>
          <w:sz w:val="28"/>
          <w:szCs w:val="28"/>
          <w:lang w:val="lt-LT" w:eastAsia="lt-LT"/>
        </w:rPr>
      </w:pPr>
      <w:r w:rsidRPr="006A712F">
        <w:rPr>
          <w:rFonts w:ascii="Times New Roman" w:hAnsi="Times New Roman" w:cs="Times New Roman"/>
          <w:b/>
          <w:sz w:val="28"/>
          <w:szCs w:val="28"/>
          <w:lang w:val="lt-LT" w:eastAsia="lt-LT"/>
        </w:rPr>
        <w:t>VILNIAUS R. EITMINIŠKIŲ PAGRINDINĖS MOKYKLOS</w:t>
      </w:r>
    </w:p>
    <w:p w:rsidR="00FC1BE4" w:rsidRPr="005C7232" w:rsidRDefault="00FC1BE4" w:rsidP="00FC1BE4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DIREKTORĖS REGINOS KUTYŠ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20</w:t>
      </w:r>
      <w:r w:rsidR="00492814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20</w:t>
      </w: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M. METŲ VEIKLOS ATASKAITA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</w:t>
      </w:r>
      <w:r w:rsidR="004928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-01-20 Nr.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</w:t>
      </w:r>
      <w:r w:rsidR="001C4A5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7-</w:t>
      </w:r>
      <w:r w:rsidR="00C94B9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105</w:t>
      </w:r>
    </w:p>
    <w:p w:rsidR="00FC1BE4" w:rsidRPr="005C7232" w:rsidRDefault="00FC1BE4" w:rsidP="00FC1BE4">
      <w:pPr>
        <w:tabs>
          <w:tab w:val="left" w:pos="3828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Eitminiškės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 SKYRIUS</w:t>
      </w:r>
    </w:p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STRATEGINIO PLANO IR METINIO VEIKLOS PLANO ĮGYVENDINIMAS</w:t>
      </w:r>
    </w:p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C1BE4" w:rsidRPr="00393E73" w:rsidTr="00E93EAA">
        <w:tc>
          <w:tcPr>
            <w:tcW w:w="9571" w:type="dxa"/>
          </w:tcPr>
          <w:p w:rsidR="001F12A0" w:rsidRDefault="001F12A0" w:rsidP="001F12A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2020 metų veiklos plano tikslai buvo numatyti atsižvelgiant į 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Vilniaus r. 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Eitminiškių pagrindinės mokyklos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2019–202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metų strateginio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plano pagrindinius tikslus:</w:t>
            </w:r>
          </w:p>
          <w:p w:rsidR="00301E95" w:rsidRPr="00301E95" w:rsidRDefault="00301E95" w:rsidP="00301E95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Telkiant mokyklos bendruomenę, gerinti </w:t>
            </w:r>
            <w:proofErr w:type="spellStart"/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ugdymo(si</w:t>
            </w:r>
            <w:proofErr w:type="spellEnd"/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kokybę.</w:t>
            </w:r>
          </w:p>
          <w:p w:rsidR="00301E95" w:rsidRPr="00301E95" w:rsidRDefault="00301E95" w:rsidP="00301E95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Formuoti mokyklos kultūrą, saugią ir palankią </w:t>
            </w:r>
            <w:proofErr w:type="spellStart"/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</w:t>
            </w:r>
            <w:r w:rsidRPr="00301E9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(si</w:t>
            </w:r>
            <w:proofErr w:type="spellEnd"/>
            <w:r w:rsidRPr="00301E9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) aplinką.</w:t>
            </w:r>
          </w:p>
          <w:p w:rsidR="001F12A0" w:rsidRDefault="001F12A0" w:rsidP="00E93E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C1BE4" w:rsidRPr="005C7232" w:rsidRDefault="00FC1BE4" w:rsidP="00E93EA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PRIORITETAS</w:t>
            </w:r>
            <w:r w:rsid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: </w:t>
            </w:r>
            <w:r w:rsidR="00C64C95" w:rsidRP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</w:t>
            </w:r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elkiant mokyklos bendruomenę, gerinti </w:t>
            </w:r>
            <w:proofErr w:type="spellStart"/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ugdymo(si</w:t>
            </w:r>
            <w:proofErr w:type="spellEnd"/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 kokybę</w:t>
            </w:r>
            <w:r w:rsidRPr="005C723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FC1BE4" w:rsidRPr="005C7232" w:rsidRDefault="00FC1BE4" w:rsidP="00E93EAA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Tikslas. </w:t>
            </w:r>
            <w:r w:rsidRPr="005C723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Ugdymo kokybės </w:t>
            </w:r>
            <w:r w:rsidR="00301E95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gerinimas</w:t>
            </w:r>
            <w:r w:rsidRPr="005C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4598" w:rsidRPr="00FF2938" w:rsidRDefault="00FC1BE4" w:rsidP="001E45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Tikslui pasiekti buvo numatyti ir įgyvendinti </w:t>
            </w:r>
            <w:r w:rsidR="00C64C95"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  <w:r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uždaviniai:</w:t>
            </w:r>
            <w:r w:rsidR="00171FD4" w:rsidRPr="00FF29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171FD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gimtosios ir valstybinės kalbų ugdymo kokybės gerinimas</w:t>
            </w:r>
            <w:r w:rsidR="001E4598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171FD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</w:t>
            </w:r>
            <w:r w:rsidR="001E4598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vairių mokymo metodų bei priemonių diegimas ir taikymas, organizuoti įvairius renginius įtraukiančius mokinių šeimas  ir  vietos bendruomenę.</w:t>
            </w:r>
          </w:p>
          <w:p w:rsidR="001E4598" w:rsidRPr="00FF2938" w:rsidRDefault="001E4598" w:rsidP="00E93EAA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</w:pPr>
            <w:r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Buvo išanalizuoti lenkų ir lietuvių k</w:t>
            </w:r>
            <w:r w:rsidR="006A287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albų pasiekimai. Palyginome praėjusi</w:t>
            </w:r>
            <w:r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ų mokslo metų metinius ir šių metų 1-</w:t>
            </w:r>
            <w:r w:rsidR="006A287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oj</w:t>
            </w:r>
            <w:r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 trimestro</w:t>
            </w:r>
            <w:r w:rsidR="00171FD4"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rezultatus:</w:t>
            </w:r>
            <w:r w:rsidR="00C2462F"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lenkų kalbos ir lietuvių kalbos rezultatų vidurkis nežymiai pagerėjo, bet silpnesnių mokinių, kurie yra nemotyvuoti, pasiekimai pablogėjo. </w:t>
            </w:r>
          </w:p>
          <w:p w:rsidR="00C2462F" w:rsidRPr="00FF2938" w:rsidRDefault="006A2879" w:rsidP="00C246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Penktos klasės lietuvių kalbos mokymo procesui</w:t>
            </w:r>
            <w:r w:rsidR="00C2462F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gerinti įsigijome „Baltų lankų“ vadovėlių skaitmeninę mokymosi</w:t>
            </w:r>
            <w:r w:rsidR="00255F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priemonę „e-lankos“, padėsian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čią</w:t>
            </w:r>
            <w:r w:rsidR="00C2462F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įveikti kylančius ugdymo </w:t>
            </w:r>
            <w:r w:rsidR="00997F4D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iššūkius</w:t>
            </w:r>
            <w:r w:rsidR="00C2462F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kuri yra naudojama tiek įprastam, tiek ir nuotoliniam ugdymui.</w:t>
            </w:r>
          </w:p>
          <w:p w:rsidR="00B44F32" w:rsidRPr="00FF2938" w:rsidRDefault="00B44F32" w:rsidP="00B44F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Gimtosios kalbos pasiekimams gerinti įgijome naujų vadovėlių seriją „</w:t>
            </w:r>
            <w:proofErr w:type="spellStart"/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Lokomotywa</w:t>
            </w:r>
            <w:proofErr w:type="spellEnd"/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pradinių klasių mokiniams, be</w:t>
            </w:r>
            <w:r w:rsidR="006A28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5 – 10 klasių vadovėlių seriją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</w:t>
            </w:r>
            <w:proofErr w:type="spellStart"/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Między</w:t>
            </w:r>
            <w:proofErr w:type="spellEnd"/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nami</w:t>
            </w:r>
            <w:proofErr w:type="spellEnd"/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“. Kiekvienas pradinių klasių ir lenkų kalbos mokytojas turi asmeninę internetinę prieigą prie mokymosi </w:t>
            </w:r>
            <w:r w:rsidR="00997F4D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platformos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93E73">
              <w:fldChar w:fldCharType="begin"/>
            </w:r>
            <w:r w:rsidR="00393E73" w:rsidRPr="00393E73">
              <w:rPr>
                <w:lang w:val="lt-LT"/>
              </w:rPr>
              <w:instrText xml:space="preserve"> HYPERLINK "http://www.gwo.pl" </w:instrText>
            </w:r>
            <w:r w:rsidR="00393E73">
              <w:fldChar w:fldCharType="separate"/>
            </w:r>
            <w:r w:rsidRPr="00FF2938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lt-LT"/>
              </w:rPr>
              <w:t>www.gwo.pl</w:t>
            </w:r>
            <w:r w:rsidR="00393E73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lt-LT"/>
              </w:rPr>
              <w:fldChar w:fldCharType="end"/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tai padeda sukurti labai daug nuotoliniam mokymui naudingo skaitmeninio turinio.</w:t>
            </w:r>
          </w:p>
          <w:p w:rsidR="00FF2938" w:rsidRPr="00FF2938" w:rsidRDefault="00FF2938" w:rsidP="00FF293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Į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d</w:t>
            </w:r>
            <w:r w:rsidR="006A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i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eg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ėme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„</w:t>
            </w:r>
            <w:proofErr w:type="spellStart"/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MozaBook</w:t>
            </w:r>
            <w:proofErr w:type="spellEnd"/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” programą,</w:t>
            </w:r>
            <w:r w:rsidR="00532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kuri</w:t>
            </w:r>
            <w:r w:rsidR="006A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plečia mokymo priemones 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universaliomis iliustracijomis, animacijomis ir įdomiomis </w:t>
            </w:r>
            <w:r w:rsidR="006A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pateikčių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galimybėmis.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Tikimės, kad į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spūdingas interaktyvus turinys ir įdiegtos įg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ū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džių v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y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st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y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mo virtualios l</w:t>
            </w:r>
            <w:r w:rsidR="006A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aboratorijų aplikacijos padės sužadinti mokinių susidomėjimą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bei gilinti žinias.</w:t>
            </w:r>
          </w:p>
          <w:p w:rsidR="00092651" w:rsidRPr="00B32515" w:rsidRDefault="00092651" w:rsidP="00092651">
            <w:pPr>
              <w:tabs>
                <w:tab w:val="left" w:pos="360"/>
              </w:tabs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2420C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Pandemija neleido  įgyvendinti visų mokyklos planuotų išvykų bei renginių</w:t>
            </w:r>
            <w:r w:rsidRPr="00633D3B">
              <w:rPr>
                <w:rFonts w:ascii="Times New Roman" w:hAnsi="Times New Roman" w:cs="Times New Roman"/>
                <w:i/>
                <w:color w:val="101010"/>
                <w:sz w:val="24"/>
                <w:szCs w:val="24"/>
                <w:lang w:val="lt-LT"/>
              </w:rPr>
              <w:t xml:space="preserve">. </w:t>
            </w:r>
          </w:p>
          <w:p w:rsidR="00453A11" w:rsidRPr="00FF2938" w:rsidRDefault="004750EB" w:rsidP="00FF29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Stengėmės įvairinti 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veiklą: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vesti pamokas netradicinėje aplinkoje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organizuoti edukacines išvykas, organizuoti įvairių dalykų integruotas veiklas bei parodas. </w:t>
            </w:r>
            <w:r w:rsidR="00D1779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Šiais s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udėting</w:t>
            </w:r>
            <w:r w:rsidR="00D1779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ais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pandemijos </w:t>
            </w:r>
            <w:r w:rsidR="00D1779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metais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buvo pravestos 5 pamokos kitoje aplinkoje</w:t>
            </w:r>
            <w:r w:rsidR="006A28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 6 išvyko</w:t>
            </w:r>
            <w:r w:rsidR="00F06ED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4 integruot</w:t>
            </w:r>
            <w:r w:rsidR="00D1779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užsiėmim</w:t>
            </w:r>
            <w:r w:rsidR="00D1779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D1779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A28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parodo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s, 13 atvirų renginių</w:t>
            </w:r>
            <w:r w:rsidR="00453A11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7918F3" w:rsidRPr="00FF2938" w:rsidRDefault="007918F3" w:rsidP="00FF2938">
            <w:pPr>
              <w:pStyle w:val="a4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FF29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Dalyvavome tarptautiniame projekte </w:t>
            </w:r>
            <w:r w:rsidRPr="00FF293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"</w:t>
            </w:r>
            <w:proofErr w:type="spellStart"/>
            <w:r w:rsidRPr="00FF293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Inteligentny</w:t>
            </w:r>
            <w:proofErr w:type="spellEnd"/>
            <w:r w:rsidRPr="00FF293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</w:t>
            </w:r>
            <w:proofErr w:type="spellStart"/>
            <w:r w:rsidRPr="00FF293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Samorząd</w:t>
            </w:r>
            <w:proofErr w:type="spellEnd"/>
            <w:r w:rsidRPr="00FF293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- </w:t>
            </w:r>
            <w:proofErr w:type="spellStart"/>
            <w:r w:rsidRPr="00FF293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Change</w:t>
            </w:r>
            <w:proofErr w:type="spellEnd"/>
            <w:r w:rsidRPr="00FF293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</w:t>
            </w:r>
            <w:proofErr w:type="spellStart"/>
            <w:r w:rsidRPr="00FF293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The</w:t>
            </w:r>
            <w:proofErr w:type="spellEnd"/>
            <w:r w:rsidRPr="00FF293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</w:t>
            </w:r>
            <w:proofErr w:type="spellStart"/>
            <w:r w:rsidRPr="00FF2938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Game"</w:t>
            </w:r>
            <w:r w:rsidR="006A287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(</w:t>
            </w:r>
            <w:r w:rsidRPr="00FF293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oro</w:t>
            </w:r>
            <w:proofErr w:type="spellEnd"/>
            <w:r w:rsidRPr="00FF293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užterštumo nustatymas</w:t>
            </w:r>
            <w:r w:rsidR="006A287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)</w:t>
            </w:r>
            <w:r w:rsidRPr="00FF293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. </w:t>
            </w:r>
          </w:p>
          <w:p w:rsidR="001E4598" w:rsidRPr="00FF2938" w:rsidRDefault="00453A11" w:rsidP="00453A11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i/>
                <w:color w:val="101010"/>
                <w:sz w:val="24"/>
                <w:szCs w:val="24"/>
                <w:lang w:val="lt-LT"/>
              </w:rPr>
            </w:pP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Birželio mėnesį </w:t>
            </w:r>
            <w:r w:rsidR="006A2879" w:rsidRPr="00FF2938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1-4 klasių mokiniams</w:t>
            </w:r>
            <w:r w:rsidR="006A2879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vyko vasaros užimtumo projektas „Arčiau gyvūnų...“</w:t>
            </w:r>
            <w:r w:rsidRPr="00FF2938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.  Priešmokyklinio ugdymo (PU) grupė </w:t>
            </w:r>
            <w:r w:rsidR="00836D4A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organizavo</w:t>
            </w:r>
            <w:r w:rsidRPr="00FF2938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p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rojektą su ugdytinais ir jų tėvais „Linksmoji rudens abėcėlė“.</w:t>
            </w:r>
            <w:r w:rsidRPr="00FF2938"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  <w:t xml:space="preserve"> </w:t>
            </w:r>
            <w:r w:rsidRPr="00FF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Dalyvavome Vilniaus rajono ikimokyklinio</w:t>
            </w:r>
            <w:r w:rsidR="00B32515" w:rsidRPr="00FF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F06ED3" w:rsidRPr="00FF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ir priešmokyklinio</w:t>
            </w:r>
            <w:r w:rsidRPr="00FF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ugdymo įstaigų</w:t>
            </w:r>
            <w:r w:rsidR="00B32515" w:rsidRPr="00FF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F06ED3" w:rsidRPr="00FF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meniniame-kūrybiniame</w:t>
            </w:r>
            <w:r w:rsidRPr="00FF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projekte „</w:t>
            </w:r>
            <w:r w:rsidR="00B32515" w:rsidRPr="00FF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Visi turime savo namus</w:t>
            </w:r>
            <w:r w:rsidRPr="00FF2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“.</w:t>
            </w:r>
            <w:r w:rsidRPr="00FF2938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PU grupė d</w:t>
            </w:r>
            <w:r w:rsidRPr="00FF2938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alyvavo tarptautiniame reng</w:t>
            </w:r>
            <w:r w:rsidR="00B32515" w:rsidRPr="00FF2938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inyje „Kalėdinė garsų mozaika“.</w:t>
            </w:r>
          </w:p>
          <w:p w:rsidR="00FC1BE4" w:rsidRPr="00092651" w:rsidRDefault="00FC1BE4" w:rsidP="00E93EA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926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Mokykla </w:t>
            </w:r>
            <w:r w:rsidR="00FF2938" w:rsidRPr="000926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gavo</w:t>
            </w:r>
            <w:r w:rsidRPr="000926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</w:t>
            </w:r>
            <w:r w:rsidR="006A3AE0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893AF7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nauj</w:t>
            </w:r>
            <w:r w:rsidR="00FF2938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us nešiojamus kompiuterius</w:t>
            </w:r>
            <w:r w:rsidR="00B3251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 </w:t>
            </w:r>
            <w:r w:rsidR="00FF2938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nupirko </w:t>
            </w:r>
            <w:r w:rsidR="00B3251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du </w:t>
            </w:r>
            <w:proofErr w:type="spellStart"/>
            <w:r w:rsidR="00B3251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planšetini</w:t>
            </w:r>
            <w:r w:rsidR="00FF2938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us</w:t>
            </w:r>
            <w:proofErr w:type="spellEnd"/>
            <w:r w:rsidR="00B3251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kompiuteri</w:t>
            </w:r>
            <w:r w:rsidR="00FF2938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us</w:t>
            </w:r>
            <w:r w:rsidR="00B3251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FC1BE4" w:rsidRPr="00092651" w:rsidRDefault="00FC1BE4" w:rsidP="00E93EA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Kiekvienoje klasėje yra bent vienas  kompiuteris, projektorius ir interneto prieiga</w:t>
            </w:r>
            <w:r w:rsidR="00836D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tai mokytojui suteikia puikias galimybes įdomiau ir efektyviau dirbti.</w:t>
            </w:r>
          </w:p>
          <w:p w:rsidR="00742892" w:rsidRPr="00092651" w:rsidRDefault="00836D4A" w:rsidP="002171A9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</w:t>
            </w:r>
            <w:r w:rsidR="005958E5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eikiama dalykinė pagalba mokiniams. </w:t>
            </w:r>
            <w:r w:rsidR="005958E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Mokykloje veikia „Namų darbų klubas“, kur vaikai po pamokų gali atlikti namų darbus ir gauti mokytojų dalykinę </w:t>
            </w:r>
            <w:r w:rsidR="005958E5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konsultaciją ir</w:t>
            </w:r>
            <w:r w:rsidR="005958E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pagalbą</w:t>
            </w:r>
            <w:r w:rsidR="005E0D20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perrašyti </w:t>
            </w:r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kontrolinį ir pan.</w:t>
            </w:r>
            <w:r w:rsidR="005958E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5958E5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42892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pamokų mokiniai gali naudotis mokyklos kompiuteriais, ieškoti informacijos</w:t>
            </w:r>
            <w:r w:rsidR="00E00B12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ruošti pristatymus.</w:t>
            </w:r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Atliekama pagalbos mokiniams </w:t>
            </w:r>
            <w:r w:rsidR="00997F4D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naudotų </w:t>
            </w:r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priemonių poveikio analizė. Išvada, kad  ne visi mokiniai naudojasi mokytojų siūloma pagalba. Nuspręsta sistemingai informuoti tėvus raštu, el. dienyno pagalba, apie galimybę pasinaudoti mokytojų konsultacijomis.</w:t>
            </w:r>
          </w:p>
          <w:p w:rsidR="00092651" w:rsidRDefault="00836D4A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Palyginome praėjusi</w:t>
            </w:r>
            <w:r w:rsidR="00092651"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ų mokslo metų metinius ir šių metų 1-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oj</w:t>
            </w:r>
            <w:r w:rsidR="00092651"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 trimestro rezultatus:</w:t>
            </w:r>
          </w:p>
          <w:p w:rsidR="00623823" w:rsidRPr="0074327A" w:rsidRDefault="007F5CC0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</w:t>
            </w:r>
            <w:r w:rsidR="000A29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1-4 </w:t>
            </w:r>
            <w:proofErr w:type="spellStart"/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– 19 mokinių </w:t>
            </w:r>
          </w:p>
          <w:p w:rsidR="00623823" w:rsidRPr="0074327A" w:rsidRDefault="0062382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Mokėsi aukštesniuoju lygiu – 4 (21,1%),  pernai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</w:t>
            </w: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(16,8%)</w:t>
            </w:r>
          </w:p>
          <w:p w:rsidR="00623823" w:rsidRPr="0074327A" w:rsidRDefault="0062382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Mokėsi pagrindiniu lygiu – 8 (4</w:t>
            </w:r>
            <w:r w:rsidR="000138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,1%) , pernai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(49,9%)</w:t>
            </w:r>
          </w:p>
          <w:p w:rsidR="00623823" w:rsidRPr="0074327A" w:rsidRDefault="0062382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Mokėsi patenkinamu lygiu – 7 (36,</w:t>
            </w:r>
            <w:r w:rsidR="000138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pernai </w:t>
            </w:r>
            <w:r w:rsidR="007F5CC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(33,3%)</w:t>
            </w:r>
          </w:p>
          <w:p w:rsidR="00623823" w:rsidRPr="0074327A" w:rsidRDefault="0062382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Mokėsi nepatenkinamu lygiu – 0%, pernai 0%.</w:t>
            </w:r>
          </w:p>
          <w:p w:rsidR="00623823" w:rsidRPr="0074327A" w:rsidRDefault="000A295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5-10 </w:t>
            </w:r>
            <w:proofErr w:type="spellStart"/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– 22 mokiniai</w:t>
            </w:r>
          </w:p>
          <w:p w:rsidR="00623823" w:rsidRPr="0074327A" w:rsidRDefault="00532DE8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Mokėsi aukštesniuoju lygiu –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 (9,1%),  pernai </w:t>
            </w:r>
            <w:r w:rsidR="000A29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(7,7%)</w:t>
            </w:r>
          </w:p>
          <w:p w:rsidR="00623823" w:rsidRPr="0074327A" w:rsidRDefault="0062382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Mokėsi pagrindiniu lygiu – 5 (22,7%), pernai </w:t>
            </w:r>
            <w:r w:rsidR="000A29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(7,7%),</w:t>
            </w:r>
          </w:p>
          <w:p w:rsidR="00623823" w:rsidRPr="0074327A" w:rsidRDefault="0062382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Mokėsi patenkinamu lygiu – 10 (45,5%),  pernai</w:t>
            </w:r>
            <w:r w:rsidR="000A29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22</w:t>
            </w: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( 84,6%),       </w:t>
            </w:r>
          </w:p>
          <w:p w:rsidR="00623823" w:rsidRPr="0074327A" w:rsidRDefault="0062382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Mokėsi nepatenkinamu lygiu – 3 (13,6%,),  pernai – 0% </w:t>
            </w:r>
          </w:p>
          <w:p w:rsidR="00623823" w:rsidRPr="0074327A" w:rsidRDefault="0062382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Mokyklos 5-8 klasių mokymosi rezultatų vidurkis – 8,51 (pernai 8,05), o 9-10 klasių mokymosi rezultatų vidurkis – 7,15 (pernai 6,81).  </w:t>
            </w:r>
          </w:p>
          <w:p w:rsidR="00A24E28" w:rsidRPr="00A24E28" w:rsidRDefault="00AB793B" w:rsidP="00E93E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24E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Visų ugdymo dalykų 1-ojo trimestro įvertinimų v</w:t>
            </w:r>
            <w:r w:rsidR="00836D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idurkiai yra aukštesni už praėjusi</w:t>
            </w:r>
            <w:r w:rsidRPr="00A24E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metų metinių įvertinimų vidurkius,  padidėjo 1,6 proc..</w:t>
            </w:r>
          </w:p>
          <w:p w:rsidR="00AB793B" w:rsidRPr="00A24E28" w:rsidRDefault="00AB793B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24E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01AD4" w:rsidRPr="00A24E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4,3</w:t>
            </w:r>
            <w:r w:rsidRPr="00A24E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proc. </w:t>
            </w:r>
            <w:r w:rsidR="00601AD4" w:rsidRPr="00A24E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padaugėjo</w:t>
            </w:r>
            <w:r w:rsidRPr="00A24E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mokinių pasiekusių aukštesnįjį pasiekimų lygį</w:t>
            </w:r>
            <w:r w:rsidR="00A24E28" w:rsidRPr="00A24E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1-4 klasėse ir 1,4 proc. padaugėjo mokinių pasiekusių aukštesnįjį pasiekimų lygį 5-10 klasėse.</w:t>
            </w:r>
          </w:p>
          <w:p w:rsidR="00FC1BE4" w:rsidRPr="00DF349B" w:rsidRDefault="00836D4A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Tolesn</w:t>
            </w:r>
            <w:r w:rsidR="00FC1BE4"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ė dešimtokų veikla:</w:t>
            </w:r>
          </w:p>
          <w:p w:rsidR="00FC1BE4" w:rsidRPr="00DF349B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DF349B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  </w:t>
            </w:r>
            <w:r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mokosi gimnazijose – </w:t>
            </w:r>
            <w:r w:rsidR="000A2953"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</w:t>
            </w:r>
            <w:r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;</w:t>
            </w:r>
          </w:p>
          <w:p w:rsidR="000A2953" w:rsidRPr="00DF349B" w:rsidRDefault="000A2953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mokosi profesinėse mokyklose</w:t>
            </w:r>
            <w:r w:rsid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C1BE4"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– </w:t>
            </w:r>
            <w:r w:rsidR="00861458"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3</w:t>
            </w:r>
          </w:p>
          <w:p w:rsidR="00FC1BE4" w:rsidRPr="00DF349B" w:rsidRDefault="000A2953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dirba</w:t>
            </w:r>
            <w:r w:rsid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- </w:t>
            </w:r>
            <w:r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</w:t>
            </w:r>
            <w:r w:rsidR="00861458"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:rsidR="00FC1BE4" w:rsidRDefault="00FC1BE4" w:rsidP="00E93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23BD9"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PRIORITETAS. </w:t>
            </w:r>
            <w:r w:rsidR="00E00B12" w:rsidRPr="00E00B1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Formuoti mokyklos kultūrą, saugią ir palankią </w:t>
            </w:r>
            <w:proofErr w:type="spellStart"/>
            <w:r w:rsidR="00E00B12" w:rsidRPr="00E00B1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</w:t>
            </w:r>
            <w:r w:rsidRPr="00E00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(si</w:t>
            </w:r>
            <w:proofErr w:type="spellEnd"/>
            <w:r w:rsidRPr="00E00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) aplink</w:t>
            </w:r>
            <w:r w:rsidR="00E00B12" w:rsidRPr="00E00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ą</w:t>
            </w:r>
            <w:r w:rsidRPr="00E00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.</w:t>
            </w:r>
          </w:p>
          <w:p w:rsidR="00092651" w:rsidRPr="00CF1B47" w:rsidRDefault="00FC1BE4" w:rsidP="00E93E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Tikslui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pasiekti buvo numatyti ir įgyvendinti  uždaviniai:</w:t>
            </w: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CF1B4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</w:t>
            </w:r>
            <w:r w:rsidRPr="00CF1B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gdyti sąmoningą požiūrį į mokyklos tvarką, gerinti bendruomenės mikroklimatą,</w:t>
            </w:r>
            <w:r w:rsidR="00092651" w:rsidRPr="00CF1B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skelbti medžiagą apie smurto ir patyčių prevenciją, sveikos gyvensenos ir lig</w:t>
            </w:r>
            <w:r w:rsidR="003256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092651" w:rsidRPr="00CF1B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prevencijos klausimais.</w:t>
            </w:r>
          </w:p>
          <w:p w:rsidR="00C20234" w:rsidRPr="00C20234" w:rsidRDefault="00FC1BE4" w:rsidP="00CF1B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9265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="00C2023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Atnaujintas </w:t>
            </w:r>
            <w:r w:rsidR="00C20234" w:rsidRPr="00C2023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mokyklos Vaikų turizmo renginių organizavimo tvarkos aprašas</w:t>
            </w:r>
            <w:r w:rsidR="00C2023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kuris</w:t>
            </w:r>
            <w:r w:rsidR="00C20234" w:rsidRPr="00C2023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nustato vaikų turizmo renginių</w:t>
            </w:r>
            <w:r w:rsidR="00C2023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  <w:r w:rsidR="00C20234" w:rsidRPr="00C2023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žygių, išvykų, ekskursijų organizavimo tvarką.  Aprašo tikslas – reglamentuoti turizmo renginių organizavimą, vykdymą ir </w:t>
            </w:r>
            <w:r w:rsidR="00836D4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užtikrinti</w:t>
            </w:r>
            <w:r w:rsidR="00C20234" w:rsidRPr="00C2023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renginiuose dalyvaujančių vaikų saugumą.</w:t>
            </w:r>
          </w:p>
          <w:p w:rsidR="00C20234" w:rsidRPr="00C20234" w:rsidRDefault="00C20234" w:rsidP="00E93E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 xml:space="preserve">Atnaujintos </w:t>
            </w:r>
            <w:r w:rsidRPr="00C20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Mokinių turizmo renginių </w:t>
            </w:r>
            <w:r w:rsidR="00836D4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saugos,</w:t>
            </w:r>
            <w:r w:rsidRPr="00C2023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sveikatos bei elgesio instrukcijos.</w:t>
            </w:r>
          </w:p>
          <w:p w:rsidR="00BB4CD5" w:rsidRDefault="00BB4CD5" w:rsidP="00BB4CD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Patobulintos Mokinio teisės, pareigos ir elgesio taisyklės, elgesio skatinimo ir drausminimo sistema.</w:t>
            </w:r>
          </w:p>
          <w:p w:rsidR="00BB4CD5" w:rsidRPr="00BB4CD5" w:rsidRDefault="00BB4CD5" w:rsidP="00BB4CD5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Sustiprintas Mokinių savivaldos darbas, m</w:t>
            </w:r>
            <w:r w:rsidR="00836D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okiniai sėkmingai dirbo padėdami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mokyklai organizuoti darbą sudėtingomis pandemijos sąlygomis.</w:t>
            </w:r>
          </w:p>
          <w:p w:rsidR="00FC1BE4" w:rsidRPr="007E0510" w:rsidRDefault="00FC1BE4" w:rsidP="00E93EAA">
            <w:pPr>
              <w:shd w:val="clear" w:color="auto" w:fill="FFFFFF"/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</w:pPr>
            <w:r w:rsidRPr="007E05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Įgyvendintos ne mažiau kaip 3 prevencinės programos, integravus jas į dalykų ugdymo turinį ir klasių valandėles (klasių veiklas).  </w:t>
            </w:r>
            <w:r w:rsidR="00DF349B" w:rsidRPr="007E0510">
              <w:rPr>
                <w:rFonts w:ascii="Times New Roman" w:eastAsia="SimSun" w:hAnsi="Times New Roman" w:cs="Times New Roman"/>
                <w:sz w:val="24"/>
                <w:szCs w:val="24"/>
                <w:lang w:val="lt-LT"/>
              </w:rPr>
              <w:t>Rengiami prevenciniai projektai. N</w:t>
            </w:r>
            <w:r w:rsidR="002171A9" w:rsidRPr="007E05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uo 2019 metų rugsėjo vykdoma </w:t>
            </w:r>
            <w:r w:rsidR="007E0510" w:rsidRPr="007E05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ankstyvosios prevencijos programa „Įveikiame kartu“</w:t>
            </w:r>
            <w:r w:rsidR="00CF1B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171A9" w:rsidRPr="007E05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="002171A9" w:rsidRPr="007E05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mocinių ir elgesio problemų </w:t>
            </w:r>
            <w:r w:rsidR="00836D4A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turintiems mokiniams.</w:t>
            </w:r>
          </w:p>
          <w:p w:rsidR="00F87391" w:rsidRDefault="00F87391" w:rsidP="00114826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Nuo 2020 m. pradėta v</w:t>
            </w:r>
            <w:r w:rsidR="00FC1BE4" w:rsidRPr="00C2023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ykd</w:t>
            </w:r>
            <w:r w:rsidR="007E05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ti</w:t>
            </w:r>
            <w:r w:rsidR="00FC1BE4" w:rsidRPr="00C2023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958E5" w:rsidRPr="00C2023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emocinių ir elgesio problemų prevencijos programa </w:t>
            </w:r>
            <w:r w:rsidRPr="00F8739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F8739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Zippio</w:t>
            </w:r>
            <w:proofErr w:type="spellEnd"/>
            <w:r w:rsidRPr="00F8739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draugai“</w:t>
            </w:r>
            <w:r w:rsidR="00FC1BE4" w:rsidRPr="00C2023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="00FC1BE4" w:rsidRPr="00C20234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7E0510" w:rsidRDefault="00FC1BE4" w:rsidP="00114826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C20234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Kasmet </w:t>
            </w:r>
            <w:r w:rsidR="00AD3EEE" w:rsidRPr="00C20234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1-4 klasių mokiniams </w:t>
            </w:r>
            <w:r w:rsidRPr="00C20234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organiz</w:t>
            </w:r>
            <w:r w:rsidR="005958E5" w:rsidRPr="00C20234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uoja</w:t>
            </w:r>
            <w:r w:rsidRPr="00C20234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me vasaros užimtumo projektus.</w:t>
            </w:r>
          </w:p>
          <w:p w:rsidR="00FC1BE4" w:rsidRPr="007E0510" w:rsidRDefault="002171A9" w:rsidP="00114826">
            <w:pPr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7E05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Dalyvavome respublikos mastu organizuotoje veiksmo savaitėje  „BE PATYČIŲ 20</w:t>
            </w:r>
            <w:r w:rsidR="00DF349B" w:rsidRPr="007E05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</w:t>
            </w:r>
            <w:r w:rsidRPr="007E05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“.</w:t>
            </w:r>
            <w:r w:rsidR="00660235" w:rsidRPr="007E05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5E0D20" w:rsidRDefault="007E0510" w:rsidP="005E0D20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Sutvarkyti ir naujai p</w:t>
            </w:r>
            <w:r w:rsidR="00AD3EE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er</w:t>
            </w:r>
            <w:r w:rsidR="00755F5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dažyti</w:t>
            </w:r>
            <w:r w:rsidR="005E0D20"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žaidimų aikštelės </w:t>
            </w:r>
            <w:r w:rsidR="00755F5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įrenginiai</w:t>
            </w:r>
            <w:r w:rsidR="005E0D20"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r w:rsidR="00755F5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Pakeisti naujais sporto</w:t>
            </w:r>
            <w:r w:rsidR="005E0D20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a</w:t>
            </w:r>
            <w:r w:rsidR="005E0D20"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ikštelė</w:t>
            </w:r>
            <w:r w:rsidR="00755F5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</w:t>
            </w:r>
            <w:r w:rsidR="005E0D20"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755F54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krepšinio skydai</w:t>
            </w:r>
            <w:r w:rsidR="005E0D20"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FC1BE4" w:rsidRDefault="00FC1BE4" w:rsidP="00E93EAA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63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Sudarant 20</w:t>
            </w:r>
            <w:r w:rsidR="002171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755F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2171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363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metų veiklos planą,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</w:t>
            </w:r>
            <w:r w:rsidRPr="00A363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bendruomenė susitarė dėl šių tikslų:</w:t>
            </w:r>
          </w:p>
          <w:p w:rsidR="003128FE" w:rsidRPr="003128FE" w:rsidRDefault="00FC1BE4" w:rsidP="00E93EAA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28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2B20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</w:t>
            </w:r>
            <w:r w:rsidRPr="003128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erinti </w:t>
            </w:r>
            <w:proofErr w:type="spellStart"/>
            <w:r w:rsidR="002B20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ugdymo(si</w:t>
            </w:r>
            <w:proofErr w:type="spellEnd"/>
            <w:r w:rsidR="002B20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kokybę.</w:t>
            </w:r>
            <w:r w:rsidR="007E0510" w:rsidRPr="00EB373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Tobulinti pamokos vadybą</w:t>
            </w:r>
            <w:r w:rsidR="00325637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:rsidR="00812203" w:rsidRDefault="00FC1BE4" w:rsidP="00812203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B0052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2.</w:t>
            </w:r>
            <w:r w:rsidR="00812203" w:rsidRPr="006F6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CF1B47" w:rsidRPr="0000102F">
              <w:rPr>
                <w:rFonts w:ascii="Times New Roman" w:hAnsi="Times New Roman"/>
                <w:sz w:val="24"/>
                <w:szCs w:val="24"/>
                <w:lang w:val="lt-LT"/>
              </w:rPr>
              <w:t>Sukurti patrauklias sąlygas mokinių pilietiškumo ir dvasiškumo ugdymui.</w:t>
            </w:r>
          </w:p>
          <w:p w:rsidR="00FC1BE4" w:rsidRDefault="00FC1BE4" w:rsidP="0081220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</w:tbl>
    <w:p w:rsidR="008C71BD" w:rsidRDefault="008C71B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D31C7D" w:rsidRPr="005C7232" w:rsidRDefault="00D31C7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II SKYRIUS</w:t>
      </w:r>
    </w:p>
    <w:p w:rsidR="00D31C7D" w:rsidRPr="005C7232" w:rsidRDefault="00D31C7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METŲ VEIKLOS UŽDUOTYS, REZULTATAI IR RODIKLIAI</w:t>
      </w:r>
    </w:p>
    <w:p w:rsidR="00D31C7D" w:rsidRPr="005C7232" w:rsidRDefault="00D31C7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D31C7D" w:rsidRPr="005C7232" w:rsidRDefault="00D31C7D" w:rsidP="00D31C7D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1.</w:t>
      </w: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Pagrindiniai praėjusių metų veiklos rezultatai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410"/>
        <w:gridCol w:w="3006"/>
      </w:tblGrid>
      <w:tr w:rsidR="00D31C7D" w:rsidRPr="00393E73" w:rsidTr="003700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7D" w:rsidRPr="005C7232" w:rsidRDefault="00D31C7D" w:rsidP="007D160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Metų užduotys (toliau – užduotys)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7D" w:rsidRPr="005C7232" w:rsidRDefault="00D31C7D" w:rsidP="007D160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7D" w:rsidRPr="005C7232" w:rsidRDefault="00D31C7D" w:rsidP="007D160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7D" w:rsidRPr="005C7232" w:rsidRDefault="00D31C7D" w:rsidP="007D160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8C71BD" w:rsidRPr="00393E73" w:rsidTr="003700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D" w:rsidRPr="00467999" w:rsidRDefault="00451762" w:rsidP="00BA112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8C71B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.1. Užtikrinti efektyvų mokyklos veiklos valdymą.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D" w:rsidRDefault="008C71BD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59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veiklą reglamentuojantys dokumentai atitinka teisės aktų reikalavimus.</w:t>
            </w:r>
          </w:p>
          <w:p w:rsidR="008C71BD" w:rsidRPr="004959BC" w:rsidRDefault="008C71BD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D" w:rsidRDefault="008C71BD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Atnaujinti:</w:t>
            </w:r>
          </w:p>
          <w:p w:rsidR="008C71BD" w:rsidRDefault="008C71BD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- Mokyklos darbuotojų darbo apmokėjimo sistemą,</w:t>
            </w:r>
          </w:p>
          <w:p w:rsidR="008C71BD" w:rsidRDefault="008C71BD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 Išvykų, turistinių žygių ir ekskursijų organizavimo tvarkos aprašą, </w:t>
            </w:r>
          </w:p>
          <w:p w:rsidR="008C71BD" w:rsidRDefault="008C71BD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 Mokinių elgesio taisykles.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D" w:rsidRPr="006F3484" w:rsidRDefault="008C71BD" w:rsidP="008C71B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Sudaryta darbo grupė </w:t>
            </w:r>
            <w:r w:rsidRPr="00256A8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tvarkų aprašams atnaujinti (2020-09-16 Nr. V1-24).</w:t>
            </w:r>
          </w:p>
          <w:p w:rsidR="008C71BD" w:rsidRDefault="008C71BD" w:rsidP="008C71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Išvykų, turistinių žygių ir ekskursijų organizavimo tvarkos aprašas ir </w:t>
            </w:r>
          </w:p>
          <w:p w:rsidR="008C71BD" w:rsidRDefault="008C71BD" w:rsidP="008C71B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elgesio </w:t>
            </w:r>
            <w:r w:rsidRPr="00256A8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taisyklės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56A8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yra patvirtintos direktoriaus 2020-12-22 d. įsakymu Nr.V1-41 ir patalpintos mokyklos tinklapyje.</w:t>
            </w:r>
          </w:p>
          <w:p w:rsidR="008C71BD" w:rsidRPr="005C7232" w:rsidRDefault="008C71BD" w:rsidP="00393E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Direktoriaus 2020-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-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="00393E7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  <w:bookmarkStart w:id="0" w:name="_GoBack"/>
            <w:bookmarkEnd w:id="0"/>
            <w:r w:rsidR="00AE55A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d. įsakymu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FB257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Nr.V1- 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42</w:t>
            </w:r>
            <w:r w:rsidR="00FB257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yra pakei</w:t>
            </w:r>
            <w:r w:rsidR="006B2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ti Mokyklos darbuotojų darbo apmokėjimo sistemos priedai</w:t>
            </w:r>
            <w:r w:rsidR="00FB257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8C71BD" w:rsidRPr="00393E73" w:rsidTr="003700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D" w:rsidRPr="00577346" w:rsidRDefault="00451762" w:rsidP="007D160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8C71BD" w:rsidRPr="005773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="008C71B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  <w:r w:rsidR="008C71BD" w:rsidRPr="005773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Sudaryti sąlygas mokinių ugdymo kokybės gerinimui.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D" w:rsidRPr="00577346" w:rsidRDefault="008C71BD" w:rsidP="007D16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773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Užtikrinama mokymosi pagalba įvairių gebėjimų mokiniam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5773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8C71BD" w:rsidRPr="00577346" w:rsidRDefault="008C71BD" w:rsidP="007D16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773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Vykdoma individualios mokinių pažangos </w:t>
            </w:r>
            <w:proofErr w:type="spellStart"/>
            <w:r w:rsidRPr="005773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stebėsena</w:t>
            </w:r>
            <w:proofErr w:type="spellEnd"/>
            <w:r w:rsidRPr="005773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8C71BD" w:rsidRPr="0094092A" w:rsidRDefault="008C71BD" w:rsidP="007D160C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D" w:rsidRPr="00D437F9" w:rsidRDefault="008C71BD" w:rsidP="007D160C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577346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Veikia „Namų darbų klubas“, sudarytas mokytojų darbo klube grafikas.</w:t>
            </w:r>
            <w:r w:rsidRPr="00D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Klasių auklėto</w:t>
            </w:r>
            <w:r w:rsidR="00AE55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jai su kiekvienu mokiniu individualiai  aptarė j</w:t>
            </w:r>
            <w:r w:rsidRPr="00D437F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o pažangą.</w:t>
            </w:r>
          </w:p>
          <w:p w:rsidR="008C71BD" w:rsidRPr="00577346" w:rsidRDefault="008C71BD" w:rsidP="007D16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C71BD" w:rsidRDefault="008C71BD" w:rsidP="007D16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C71BD" w:rsidRPr="00467999" w:rsidRDefault="008C71BD" w:rsidP="007D16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71" w:rsidRDefault="00617195" w:rsidP="007D160C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95 procentai pradinių klasių vaikų naudojasi mokytojų, dirbančių „Namų darbų klube“, pagalba.</w:t>
            </w:r>
          </w:p>
          <w:p w:rsidR="00B53FDC" w:rsidRDefault="002C0CBF" w:rsidP="00B53F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Atlikus</w:t>
            </w:r>
            <w:r w:rsidR="008C71BD" w:rsidRPr="00577346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mokinių</w:t>
            </w:r>
            <w:r w:rsidR="00FB2571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2020 </w:t>
            </w:r>
            <w:r w:rsidR="00E86E70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metų</w:t>
            </w:r>
            <w:r w:rsidR="008C71B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metinių ir </w:t>
            </w:r>
            <w:r w:rsidR="008C71BD" w:rsidRPr="00577346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1-ojo trimestro mokymosi pasiekimų  analiz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ę,</w:t>
            </w:r>
            <w:r w:rsidR="008C71BD" w:rsidRPr="00577346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C94B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paaiškėjo, </w:t>
            </w:r>
            <w:r w:rsidR="00B53FD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kad </w:t>
            </w:r>
            <w:r w:rsidR="00B53FDC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5-8 klasių mokymosi rezultatų </w:t>
            </w:r>
            <w:r w:rsidR="00B53FDC" w:rsidRPr="000841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vidurkis pagerėjo 0,46 </w:t>
            </w:r>
            <w:r w:rsidR="00B53FDC" w:rsidRPr="000841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 w:rsidR="00B53FDC" w:rsidRPr="000841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o 9-10 klasių mokymosi rezultatų vidurkis </w:t>
            </w:r>
            <w:r w:rsidR="00084154" w:rsidRPr="000841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pagerėjo 0,34</w:t>
            </w:r>
            <w:r w:rsidR="000841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084154" w:rsidRPr="000841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 w:rsidR="00B53FDC" w:rsidRPr="000841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 </w:t>
            </w:r>
          </w:p>
          <w:p w:rsidR="0001381A" w:rsidRDefault="0001381A" w:rsidP="0001381A">
            <w:pPr>
              <w:pStyle w:val="a4"/>
              <w:rPr>
                <w:lang w:val="lt-LT"/>
              </w:rPr>
            </w:pPr>
            <w:r w:rsidRPr="00E86E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4,3</w:t>
            </w:r>
            <w:r w:rsidRPr="00E86E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 w:rsidRPr="000138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</w:t>
            </w:r>
            <w:r w:rsidRPr="000138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padaugėjo mokinių pasiekusių aukštesnįjį pasiekimų lygį 1-4 klasėse ir 1,4 </w:t>
            </w:r>
            <w:r w:rsidRPr="000138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% </w:t>
            </w:r>
            <w:r w:rsidRPr="000138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padaugėjo mokinių pasiekusių aukštesnįjį pasiekimų lygį 5-10 klasėse.</w:t>
            </w:r>
          </w:p>
          <w:p w:rsidR="008C71BD" w:rsidRPr="005C7232" w:rsidRDefault="00E86E70" w:rsidP="003700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E86E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Klasių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auklėtojai su kiekvienu mokiniu bei jų tėvais aptarė mokinio padarytą pažangą bei sunkumus.</w:t>
            </w:r>
          </w:p>
        </w:tc>
      </w:tr>
      <w:tr w:rsidR="008C71BD" w:rsidRPr="00C357E1" w:rsidTr="003700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D" w:rsidRPr="00467999" w:rsidRDefault="00451762" w:rsidP="007D160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1</w:t>
            </w:r>
            <w:r w:rsidR="008C71BD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.3. </w:t>
            </w:r>
            <w:r w:rsidR="008C71B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Tęsti </w:t>
            </w:r>
            <w:r w:rsidR="008C71BD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mokinių</w:t>
            </w:r>
            <w:r w:rsidR="008C71B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8C71BD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pažintin</w:t>
            </w:r>
            <w:r w:rsidR="008C71B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ės</w:t>
            </w:r>
            <w:r w:rsidR="008C71BD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veikl</w:t>
            </w:r>
            <w:r w:rsidR="008C71B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</w:t>
            </w:r>
            <w:r w:rsidR="008C71BD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stiprinanči</w:t>
            </w:r>
            <w:r w:rsidR="008C71B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os </w:t>
            </w:r>
            <w:r w:rsidR="008C71BD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pilietiškas, etnines ir dvasines</w:t>
            </w:r>
            <w:r w:rsidR="008C71B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vertybes</w:t>
            </w:r>
            <w:r w:rsidR="00AE55A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</w:t>
            </w:r>
            <w:r w:rsidR="008C71BD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8C71B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</w:t>
            </w:r>
            <w:r w:rsidR="008C71BD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rganiz</w:t>
            </w:r>
            <w:r w:rsidR="008C71B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avimą.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D" w:rsidRPr="00467999" w:rsidRDefault="008C71BD" w:rsidP="007D16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Mokiniai aktyviai dalyvauja rajono bei mokyklos organizuojamuose renginiuose, konkursuose bei olimpiadose.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D" w:rsidRPr="00467999" w:rsidRDefault="008C71BD" w:rsidP="007D160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Mokyklos bendruomenė  organizavo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bent 10 pažintinių išvykų. Visi 5-10 klasės mokiniai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dalyvavo  ne mažiau kaip </w:t>
            </w:r>
            <w:r w:rsidR="00AE55A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dviej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ose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ose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ar rengini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uose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stiprinanči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ose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pilietiškas, etnines ir dvasines vertybes.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71" w:rsidRPr="00D316C3" w:rsidRDefault="00FB2571" w:rsidP="00FB257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Pandemija neleido  įgyvendinti visų mokyklos planuotų renginių</w:t>
            </w:r>
            <w:r w:rsid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</w:t>
            </w:r>
            <w:r w:rsidRPr="00D316C3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="00D316C3"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išvykų</w:t>
            </w:r>
            <w:r w:rsidR="00AE55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D316C3"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Stengėmės įvairinti ugdymo veiklą: buvo pravestos 5 pamokos kitoje aplinkoje bei </w:t>
            </w:r>
            <w:r w:rsid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organizuotos </w:t>
            </w:r>
            <w:r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išvyk</w:t>
            </w:r>
            <w:r w:rsidR="00D316C3"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s, 4 integruoti užsiėmimai, 4 parod</w:t>
            </w:r>
            <w:r w:rsid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s, 13 atvirų renginių.</w:t>
            </w:r>
          </w:p>
          <w:p w:rsidR="00FB2571" w:rsidRPr="00D316C3" w:rsidRDefault="00FB2571" w:rsidP="00FB2571">
            <w:pPr>
              <w:pStyle w:val="a4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D316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Dalyvavome tarptautiniame projekte </w:t>
            </w:r>
            <w:r w:rsidRPr="00D316C3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"</w:t>
            </w:r>
            <w:proofErr w:type="spellStart"/>
            <w:r w:rsidRPr="00D316C3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Inteligentny</w:t>
            </w:r>
            <w:proofErr w:type="spellEnd"/>
            <w:r w:rsidRPr="00D316C3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</w:t>
            </w:r>
            <w:proofErr w:type="spellStart"/>
            <w:r w:rsidRPr="00D316C3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Samorząd</w:t>
            </w:r>
            <w:proofErr w:type="spellEnd"/>
            <w:r w:rsidRPr="00D316C3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- </w:t>
            </w:r>
            <w:proofErr w:type="spellStart"/>
            <w:r w:rsidRPr="00D316C3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Change</w:t>
            </w:r>
            <w:proofErr w:type="spellEnd"/>
            <w:r w:rsidRPr="00D316C3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</w:t>
            </w:r>
            <w:proofErr w:type="spellStart"/>
            <w:r w:rsidRPr="00D316C3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The</w:t>
            </w:r>
            <w:proofErr w:type="spellEnd"/>
            <w:r w:rsidRPr="00D316C3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</w:t>
            </w:r>
            <w:proofErr w:type="spellStart"/>
            <w:r w:rsidRPr="00D316C3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Game</w:t>
            </w:r>
            <w:proofErr w:type="spellEnd"/>
            <w:r w:rsidRPr="00D316C3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"</w:t>
            </w:r>
            <w:r w:rsidR="00D316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(</w:t>
            </w:r>
            <w:r w:rsidRPr="00D316C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oro užterštumo nustatymas</w:t>
            </w:r>
            <w:r w:rsidR="00D316C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>)</w:t>
            </w:r>
            <w:r w:rsidRPr="00D316C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. </w:t>
            </w:r>
          </w:p>
          <w:p w:rsidR="00FB2571" w:rsidRPr="00D316C3" w:rsidRDefault="00FB2571" w:rsidP="00D316C3">
            <w:pPr>
              <w:pStyle w:val="a4"/>
              <w:rPr>
                <w:rFonts w:ascii="Times New Roman" w:eastAsia="Times New Roman" w:hAnsi="Times New Roman" w:cs="Times New Roman"/>
                <w:i/>
                <w:color w:val="101010"/>
                <w:sz w:val="24"/>
                <w:szCs w:val="24"/>
                <w:lang w:val="lt-LT"/>
              </w:rPr>
            </w:pPr>
            <w:r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Birželio mėnesį vyko vasaros užimtumo projektas </w:t>
            </w:r>
            <w:r w:rsidRPr="00D316C3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1-4 klasių mokiniams</w:t>
            </w:r>
            <w:r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„Arčiau gyvūnų...“</w:t>
            </w:r>
            <w:r w:rsidRPr="00D316C3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>.  Priešmokyklinio ugdymo (PU) grupė turėjo p</w:t>
            </w:r>
            <w:r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rojektą su ugdytinais ir jų tėvais „Linksmoji rudens abėcėlė“.</w:t>
            </w:r>
            <w:r w:rsidRPr="00D316C3">
              <w:rPr>
                <w:rFonts w:ascii="Times New Roman" w:eastAsia="Batang" w:hAnsi="Times New Roman" w:cs="Times New Roman"/>
                <w:i/>
                <w:sz w:val="24"/>
                <w:szCs w:val="24"/>
                <w:lang w:val="lt-LT" w:eastAsia="lt-LT"/>
              </w:rPr>
              <w:t xml:space="preserve"> </w:t>
            </w:r>
            <w:r w:rsidRPr="00D3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Dalyvavome Vilniaus rajono ikimokyklinio ir priešmokyklinio ugdymo įstaigų meniniame-kūrybiniame projekte „Visi turime savo namus“.</w:t>
            </w:r>
            <w:r w:rsidRPr="00D316C3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PU grupė d</w:t>
            </w:r>
            <w:r w:rsidRPr="00D316C3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alyvavo tarptautiniame renginyje „Kalėdinė garsų mozaika“.</w:t>
            </w:r>
          </w:p>
          <w:p w:rsidR="008C71BD" w:rsidRPr="005C7232" w:rsidRDefault="008C71BD" w:rsidP="007D160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8C71BD" w:rsidRPr="00393E73" w:rsidTr="003700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D" w:rsidRPr="00467999" w:rsidRDefault="00451762" w:rsidP="007D160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8C71BD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="008C71B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</w:t>
            </w:r>
            <w:r w:rsidR="008C71BD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="008C71BD" w:rsidRPr="0046799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C71B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Vykdyti ikimokyklinio ir priešmokyklinio ugdymo programas pagal bendruosius sveikatos saugos reikalavimus.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D" w:rsidRPr="00467999" w:rsidRDefault="008C71BD" w:rsidP="007D160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Saugi</w:t>
            </w:r>
            <w:r w:rsidRPr="00843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aplinka, atitinkanti higienos normų reikalavimams</w:t>
            </w:r>
            <w:r w:rsidRPr="008432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D" w:rsidRPr="00467999" w:rsidRDefault="008C71BD" w:rsidP="007D160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AE55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Pašalinti trū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kumus ir gauti leidimą-higienos pasą.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BD" w:rsidRDefault="00A45E6D" w:rsidP="007D1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Trū</w:t>
            </w:r>
            <w:r w:rsidR="008C71B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kumai yra</w:t>
            </w:r>
            <w:r w:rsidR="00AE55A7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pašalinti: įrenginiai naujai per</w:t>
            </w:r>
            <w:r w:rsidR="008C71B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dažyti, įrenginių naudojim</w:t>
            </w:r>
            <w:r w:rsidR="00D316C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 instrukcijos</w:t>
            </w:r>
            <w:r w:rsidR="008C71B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atnaujint</w:t>
            </w:r>
            <w:r w:rsidR="00D316C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os</w:t>
            </w:r>
            <w:r w:rsidR="008C71B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8C71BD" w:rsidRPr="005C7232" w:rsidRDefault="008C71BD" w:rsidP="007D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Kadangi naudotis aikštele dėl pandemijos buvo uždrausta, aikštelės metinė</w:t>
            </w:r>
            <w:r w:rsidR="00D316C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kontrolė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nebuvo atlikta ir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leidimas-higienos pasas negautas</w:t>
            </w:r>
            <w:r w:rsidR="00A82C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</w:tbl>
    <w:p w:rsidR="00D31C7D" w:rsidRDefault="00D31C7D" w:rsidP="00FC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2.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 xml:space="preserve">Užduotys, neįvykdytos ar įvykdytos iš dalies dėl numatytų </w:t>
      </w:r>
      <w:proofErr w:type="spellStart"/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rizikų</w:t>
      </w:r>
      <w:proofErr w:type="spellEnd"/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 xml:space="preserve"> (jei tokių buvo)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3"/>
        <w:gridCol w:w="4962"/>
      </w:tblGrid>
      <w:tr w:rsidR="00D57ADE" w:rsidRPr="00D57ADE" w:rsidTr="00BA112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Priežastys, rizikos</w:t>
            </w:r>
          </w:p>
        </w:tc>
      </w:tr>
      <w:tr w:rsidR="00D57ADE" w:rsidRPr="00393E73" w:rsidTr="00BA112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A82CDB" w:rsidP="00A82C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1.4. neįvykdytas vienas r</w:t>
            </w: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ezultatų vertinimo rodikli</w:t>
            </w:r>
            <w:r w:rsidR="00AE55A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s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negautas higienos pasas.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7408F5" w:rsidP="00B65DE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Kadangi vaikų žaidimų aikštele dėl pandemijos buvo uždrausta naudotis, nebuvo  prasmės atlikti metinę kontrolę</w:t>
            </w:r>
            <w:r w:rsidR="00B65DE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tam skirtas lėšas panaudojo</w:t>
            </w:r>
            <w:r w:rsidR="00B65DE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me</w:t>
            </w:r>
            <w:r w:rsidR="00E603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higienos reikalavima</w:t>
            </w:r>
            <w:r w:rsidR="00AE55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s </w:t>
            </w:r>
            <w:r w:rsidR="00B65DE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tenkinti.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</w:p>
    <w:p w:rsidR="00E603CF" w:rsidRDefault="00E603CF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3.</w:t>
      </w:r>
      <w:r w:rsidRPr="00D57AD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Veiklos, kurios nebuvo planuotos ir nustatytos, bet įvykdytos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(pildoma, jei buvo atlikta papildomų, svarių įstaigos veiklos rezultatams)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</w:p>
    <w:tbl>
      <w:tblPr>
        <w:tblW w:w="939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89"/>
        <w:gridCol w:w="4801"/>
      </w:tblGrid>
      <w:tr w:rsidR="00D57ADE" w:rsidRPr="00D57ADE" w:rsidTr="00BA112E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Užduotys / veiklos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Poveikis švietimo įstaigos veiklai</w:t>
            </w:r>
          </w:p>
        </w:tc>
      </w:tr>
      <w:tr w:rsidR="00D57ADE" w:rsidRPr="00E603CF" w:rsidTr="00BA112E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E603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P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areng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tas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mokykl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os nuotolinio mokymo organizavimo tvarkos apraš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as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(įsakymas 2020-03-</w:t>
            </w:r>
            <w:r w:rsidR="00E603CF"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25</w:t>
            </w:r>
            <w:r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, Nr.V1-</w:t>
            </w:r>
            <w:r w:rsidR="00E603CF"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0</w:t>
            </w:r>
            <w:r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9)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512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Sudarytos sąlygos mokiniams ir mokytojams dirbti nuotoliniu būdu. Sėkmingai vykdomas nuotolinis ugdymas.</w:t>
            </w:r>
          </w:p>
        </w:tc>
      </w:tr>
      <w:tr w:rsidR="00D57ADE" w:rsidRPr="00393E73" w:rsidTr="00BA112E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0D56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3.2.</w:t>
            </w:r>
            <w:r w:rsidR="000D56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P</w:t>
            </w:r>
            <w:r w:rsid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r</w:t>
            </w:r>
            <w:r w:rsidR="005121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ojektavimo </w:t>
            </w:r>
            <w:r w:rsidR="005121D6" w:rsidRPr="005102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užduoties</w:t>
            </w:r>
            <w:r w:rsidR="005121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paruošimas mokyklos rekonstrukcijai</w:t>
            </w:r>
            <w:r w:rsid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0D5682" w:rsidP="00DE1F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Geresnės sąlygos vaikų priežiūrai ir </w:t>
            </w:r>
            <w:r w:rsidR="00AE55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moky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muisi</w:t>
            </w:r>
            <w:r w:rsid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.</w:t>
            </w:r>
          </w:p>
        </w:tc>
      </w:tr>
      <w:tr w:rsidR="00D57ADE" w:rsidRPr="00D57ADE" w:rsidTr="00BA112E">
        <w:tc>
          <w:tcPr>
            <w:tcW w:w="4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512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3.3. </w:t>
            </w: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512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</w:p>
        </w:tc>
      </w:tr>
      <w:tr w:rsidR="00D57ADE" w:rsidRPr="00D57ADE" w:rsidTr="00BA112E">
        <w:tc>
          <w:tcPr>
            <w:tcW w:w="4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0D56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3.4. </w:t>
            </w: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4. Pakoreguotos praėjusių metų veiklos užduotys (jei tokių buvo) ir rezultatai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71"/>
        <w:gridCol w:w="2124"/>
        <w:gridCol w:w="3007"/>
        <w:gridCol w:w="1983"/>
      </w:tblGrid>
      <w:tr w:rsidR="00D57ADE" w:rsidRPr="00393E73" w:rsidTr="00BA112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Užduotys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Siektini rezultatai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Rezultatų vertinimo rodikliai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lt-LT" w:eastAsia="lt-LT"/>
              </w:rPr>
              <w:t>(kuriais vadovaujantis vertinama, ar nustatytos užduotys įvykdytos)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Pasiekti rezultatai ir jų rodikliai</w:t>
            </w:r>
          </w:p>
        </w:tc>
      </w:tr>
      <w:tr w:rsidR="00D57ADE" w:rsidRPr="00D57ADE" w:rsidTr="00BA112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4.1.           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  <w:t>III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  <w:t>GEBĖJIMŲ ATLIKTI PAREIGYBĖS APRAŠYME NUSTATYTAS FUNKCIJAS VERTINIMAS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/>
        </w:rPr>
      </w:pPr>
    </w:p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  <w:t>5. Gebėjimų atlikti pareigybės aprašyme nustatytas funkcijas vertinimas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(pildoma, aptariant ataskaitą)</w:t>
      </w:r>
    </w:p>
    <w:tbl>
      <w:tblPr>
        <w:tblW w:w="939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690"/>
        <w:gridCol w:w="2700"/>
      </w:tblGrid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Vertinimo kriterijai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Pažymimas atitinkamas langelis: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 – nepatenkinamai;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2 – patenkinamai;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3 – gerai;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4 – labai gerai</w:t>
            </w: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5.1. Informacijos ir situacijos valdymas atliekant funkcijas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5.2. Išteklių (žmogiškųjų, laiko ir materialinių) paskirstymas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tabs>
                <w:tab w:val="left" w:pos="690"/>
              </w:tabs>
              <w:suppressAutoHyphens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tabs>
                <w:tab w:val="left" w:pos="690"/>
              </w:tabs>
              <w:suppressAutoHyphens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5.3. Lyderystės ir vadovavimo efektyvumas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5.4. Ž</w:t>
            </w:r>
            <w:r w:rsidRPr="00D57ADE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inių, gebėjimų ir įgūdžių panaudojimas, atliekant funkcijas ir siekiant rezultatų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5.5. Bendras įvertinimas (pažymimas vidurkis)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</w:tbl>
    <w:p w:rsid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DE1FC2" w:rsidRPr="00D57ADE" w:rsidRDefault="00DE1FC2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IV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PASIEKTŲ REZULTATŲ VYKDANT UŽDUOTIS ĮSIVERTINIMAS IR KOMPETENCIJŲ TOBULINIMAS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6.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Pasiektų rezultatų vykdant užduotis įsivertinimas</w:t>
      </w: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229"/>
        <w:gridCol w:w="2269"/>
      </w:tblGrid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Užduočių įvykdymo aprašymas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Pažymimas atitinkamas langelis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lastRenderedPageBreak/>
              <w:t>6.1. Visos užduotys įvykdytos ir viršijo kai kuriuos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Labai gerai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6.2. Užduotys iš esmės įvykdytos arba viena neįvykdyta pagal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Gerai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6.3. Įvykdyta ne mažiau kaip pusė užduočių pagal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Patenkinamai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AE55A7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6.4. Pusė ar daugiau užduočių</w:t>
            </w:r>
            <w:r w:rsidR="00D57ADE"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 neįvykdyta pagal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Nepatenkinamai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</w:tbl>
    <w:p w:rsidR="00D57ADE" w:rsidRPr="00D57ADE" w:rsidRDefault="00D57ADE" w:rsidP="00D57ADE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7.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Kompetencijos, kurias norėtų tobulinti</w:t>
      </w: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85"/>
      </w:tblGrid>
      <w:tr w:rsidR="00D57ADE" w:rsidRPr="00393E73" w:rsidTr="00BA112E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7.1. strateginio mąstymo ir pokyčių valdymo</w:t>
            </w:r>
          </w:p>
        </w:tc>
      </w:tr>
      <w:tr w:rsidR="00D57ADE" w:rsidRPr="00D57ADE" w:rsidTr="00BA112E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7.2. vadovavimo ugdymui ir mokymuisi</w:t>
            </w: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V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KITŲ METŲ VEIKLOS UŽDUOTYS, REZULTATAI IR RODIKLIAI</w:t>
      </w:r>
    </w:p>
    <w:p w:rsidR="00D57ADE" w:rsidRPr="00D57ADE" w:rsidRDefault="00D57ADE" w:rsidP="00D57ADE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8.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Kitų metų užduotys</w:t>
      </w:r>
    </w:p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372"/>
        <w:gridCol w:w="2581"/>
        <w:gridCol w:w="3432"/>
      </w:tblGrid>
      <w:tr w:rsidR="00557AAC" w:rsidRPr="00393E73" w:rsidTr="00B920D6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AC" w:rsidRPr="00DE1FC2" w:rsidRDefault="00557AAC" w:rsidP="00DE1F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DE1FC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AC" w:rsidRPr="00DE1FC2" w:rsidRDefault="00557AAC" w:rsidP="00DE1F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DE1FC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AC" w:rsidRPr="00DE1FC2" w:rsidRDefault="00557AAC" w:rsidP="00DE1F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DE1FC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</w:tr>
      <w:tr w:rsidR="00E603CF" w:rsidRPr="00393E73" w:rsidTr="00B920D6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E603CF" w:rsidRDefault="00064B9A" w:rsidP="0081003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8.1.</w:t>
            </w:r>
            <w:r w:rsidR="008100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Tobulinti p</w:t>
            </w:r>
            <w:r w:rsidR="00E603CF"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edagogų kvalifikacij</w:t>
            </w:r>
            <w:r w:rsidR="008100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ą.</w:t>
            </w:r>
            <w:r w:rsidR="00E603CF"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E603CF" w:rsidRDefault="00E603CF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Sudarytas mokyklos pedagogų kvalifikacijos tobulinimo  planas</w:t>
            </w:r>
            <w:r w:rsidR="008100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E603CF" w:rsidRPr="00E603CF" w:rsidRDefault="00E603CF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tobulina savo kompetencijas seminaruose, taiko šiuolaikinius pamokos</w:t>
            </w:r>
          </w:p>
          <w:p w:rsidR="00E603CF" w:rsidRPr="00E603CF" w:rsidRDefault="00E603CF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elementus, siekia aukštesnės kvalifikacijos.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3A" w:rsidRDefault="0081003A" w:rsidP="001B1B6A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Daugiau negu 80 </w:t>
            </w:r>
            <w:r w:rsidRPr="000841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pedagogų tobulin</w:t>
            </w:r>
            <w:r w:rsidR="00312A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kvalifikaciją penkias ir daugiau dienų per metus.</w:t>
            </w:r>
          </w:p>
          <w:p w:rsidR="00312AB5" w:rsidRDefault="00312AB5" w:rsidP="00312A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312AB5" w:rsidRPr="00312AB5" w:rsidRDefault="00312AB5" w:rsidP="00312A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12AB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Mokytojams organizuoti 2 seminarai bendrųjų kompetencijų tobulinimui.</w:t>
            </w:r>
          </w:p>
          <w:p w:rsidR="00AE5B3E" w:rsidRDefault="00AE5B3E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12AB5" w:rsidRDefault="00AE5B3E" w:rsidP="001B1B6A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ytos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galimybės  kiekvienam  mokiniui  įsivertinti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savo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žinias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  <w:p w:rsidR="00E603CF" w:rsidRDefault="00E603CF" w:rsidP="00E603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Stebėta įvairių dalykų mokytojų 1</w:t>
            </w:r>
            <w:r w:rsidR="008100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pamokų (tikslas - mokinių pažangos matavimas pamokoje)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312AB5" w:rsidRDefault="00312AB5" w:rsidP="00312A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312AB5" w:rsidRDefault="00665956" w:rsidP="00312AB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Metų</w:t>
            </w:r>
            <w:r w:rsidR="005004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pabaigoje atlikta </w:t>
            </w:r>
            <w:r w:rsidR="001D0D2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analizė apie mokytojų dalyvavimą seminaruose ir įgytų žinių pritaikymą pamokose.</w:t>
            </w:r>
          </w:p>
          <w:p w:rsidR="00E603CF" w:rsidRPr="0081003A" w:rsidRDefault="00E603CF" w:rsidP="00312A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E603CF" w:rsidRPr="00393E73" w:rsidTr="00B920D6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064B9A" w:rsidRDefault="00064B9A" w:rsidP="00064B9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8.2.</w:t>
            </w:r>
            <w:r w:rsidR="00E603CF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Personalizuoti ugdymą (si), sudarant daugiau galimybių kiekvienam mokiniui patirti sėkmę</w:t>
            </w:r>
            <w:r w:rsidR="001F27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3B" w:rsidRPr="00064B9A" w:rsidRDefault="002E143B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Efektyvi sisteminė ugdymo (si) pagalba įvairių poreikių bei gebėjimų mokiniams: </w:t>
            </w:r>
          </w:p>
          <w:p w:rsidR="002E143B" w:rsidRPr="00064B9A" w:rsidRDefault="002E143B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Personalizuoto bei </w:t>
            </w:r>
            <w:proofErr w:type="spellStart"/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savivaldaus</w:t>
            </w:r>
            <w:proofErr w:type="spellEnd"/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ugdymo (si) pamokoje organizavimas.</w:t>
            </w:r>
          </w:p>
          <w:p w:rsidR="005102BA" w:rsidRDefault="002E143B" w:rsidP="002E14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64B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Mokymosi tikslų ir  užduočių diferencijavimas pamokų metu </w:t>
            </w:r>
          </w:p>
          <w:p w:rsidR="00B42662" w:rsidRPr="00064B9A" w:rsidRDefault="00B42662" w:rsidP="002E14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Kryptingas gabių 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mokinių rengimas olimpiadoms, konkursams.</w:t>
            </w:r>
          </w:p>
          <w:p w:rsidR="00E603CF" w:rsidRPr="00064B9A" w:rsidRDefault="00B42662" w:rsidP="00B426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Veiksmingas mokytojų, klasės auklėtojų ir pagalbos mokiniui specialistų bendradarbiavimas.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62" w:rsidRPr="00064B9A" w:rsidRDefault="00B42662" w:rsidP="00B426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Mokytojų pamokų planuose numatoma veikla skirtingų gebėjimų mokiniams (fiksuojama 60 proc. stebėtų pamokų aprašuose).</w:t>
            </w:r>
          </w:p>
          <w:p w:rsidR="00B42662" w:rsidRPr="00064B9A" w:rsidRDefault="00B42662" w:rsidP="00B426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64B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Kryptingas gabių mokinių rengimas olimpiadoms, konkursams, pagal iš anksto suderintą planą.</w:t>
            </w:r>
          </w:p>
          <w:p w:rsidR="00DE1FC2" w:rsidRDefault="00B42662" w:rsidP="00064B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C450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C4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 rečiau kaip vieną kartą per pusmetį vyksta mokytojų dalijimosi patirtimi </w:t>
            </w:r>
            <w:r w:rsidR="006C450D" w:rsidRPr="006C4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renginiai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:rsidR="006A712F" w:rsidRDefault="00064B9A" w:rsidP="00DE1F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F27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erėja specialiųjų poreikių ir 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silpnos mokymosi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motyvacijos mokinių pasiekimai, 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 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proc. 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išaugo 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mokinių pasiekusių aukštesnįjį pasiekimų lygį (analizuojama Mokytojų tarybos posėdžiuose kartą per </w:t>
            </w:r>
            <w:r w:rsidR="00DE1F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trimestrą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). </w:t>
            </w:r>
          </w:p>
          <w:p w:rsidR="00E603CF" w:rsidRPr="00064B9A" w:rsidRDefault="00064B9A" w:rsidP="00DE1F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100 procentų 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pagrindinio 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ugdymo programą baigusių mokinių sėkmingai išlaiko 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PUPP.</w:t>
            </w:r>
          </w:p>
        </w:tc>
      </w:tr>
      <w:tr w:rsidR="00E603CF" w:rsidRPr="00393E73" w:rsidTr="00B920D6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FF6576" w:rsidRDefault="00B66481" w:rsidP="00BA112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8</w:t>
            </w:r>
            <w:r w:rsidR="00E603CF"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.3. Tęsti mokinių pažintinės veiklos, stiprinančios</w:t>
            </w:r>
          </w:p>
          <w:p w:rsidR="00E603CF" w:rsidRPr="00FF6576" w:rsidRDefault="00E603CF" w:rsidP="00BA112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pilietiškas, etnines ir dvasines</w:t>
            </w:r>
          </w:p>
          <w:p w:rsidR="00E603CF" w:rsidRPr="00FF6576" w:rsidRDefault="00E603CF" w:rsidP="00BA112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vertybes organizavimą.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FF6576" w:rsidRDefault="00E603CF" w:rsidP="00BA112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Mokiniai aktyviai dalyvauja rajono bei mokyklos organizuojamuose renginiuose, konkursuose bei olimpiadose.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FF6576" w:rsidRDefault="00E603CF" w:rsidP="00BA112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Mokyklos bendruomenė  organizavo bent 20 pažintinių išvykų</w:t>
            </w:r>
            <w:r w:rsidR="00064B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ir 10 atvirų veiklų mokyklos bendruomenei</w:t>
            </w: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Visi 5-10 klasės mokiniai dalyvavo  ne mažiau k</w:t>
            </w:r>
            <w:r w:rsidR="00694B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aip dviej</w:t>
            </w: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ose  veiklose ar renginiuose stiprinančiuose pilietiškas, etnines ir dvasines vertybes. </w:t>
            </w:r>
          </w:p>
        </w:tc>
      </w:tr>
      <w:tr w:rsidR="006A712F" w:rsidRPr="00393E73" w:rsidTr="00B920D6"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2F" w:rsidRPr="00467999" w:rsidRDefault="006A712F" w:rsidP="00997CC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8.4 Užtikrinti efektyvų mokyklos veiklos valdymą.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2F" w:rsidRDefault="006A712F" w:rsidP="00997C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59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veiklą reglamentuojantys dokumentai atitinka teisės aktų reikalavimus.</w:t>
            </w:r>
          </w:p>
          <w:p w:rsidR="006A712F" w:rsidRPr="004959BC" w:rsidRDefault="006A712F" w:rsidP="00997C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2F" w:rsidRDefault="006A712F" w:rsidP="00997C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Atnaujinti:</w:t>
            </w:r>
          </w:p>
          <w:p w:rsidR="006A712F" w:rsidRDefault="006A712F" w:rsidP="00997C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- Mokyklos maitinimo tvark</w:t>
            </w:r>
            <w:r w:rsidR="00AE5B3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aprašą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6A712F" w:rsidRDefault="006A712F" w:rsidP="00997C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 Mokyklos vidaus kontrolės politiką, </w:t>
            </w:r>
          </w:p>
          <w:p w:rsidR="006A712F" w:rsidRDefault="006A712F" w:rsidP="00997C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Mokyklos turto inventorizacijos tvarkos  aprašą.</w:t>
            </w: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lt-LT"/>
        </w:rPr>
      </w:pPr>
    </w:p>
    <w:p w:rsidR="00D57ADE" w:rsidRPr="00D57ADE" w:rsidRDefault="00D57ADE" w:rsidP="00D57A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9.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Rizika, kuriai esant nustatytos užduotys gali būti neįvykdytos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(aplinkybės, kurios gali turėti neigiamos įtakos įvykdyti šias užduotis)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D57ADE" w:rsidRPr="00D57ADE" w:rsidTr="00BA112E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9.1. Nepakankamas finansavimas.</w:t>
            </w:r>
          </w:p>
        </w:tc>
      </w:tr>
      <w:tr w:rsidR="00D57ADE" w:rsidRPr="00D57ADE" w:rsidTr="00BA112E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9.2. Teisės aktų pakeitimai.</w:t>
            </w: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VI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VERTINIMO PAGRINDIMAS IR SIŪLYMAI</w:t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10. Įvertinimas, jo pagrindimas ir siūlymai: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___________________________________________________________________________</w:t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</w:p>
    <w:p w:rsidR="00D57ADE" w:rsidRPr="00D57ADE" w:rsidRDefault="000D5682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Mokyklo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s tarybos pirmininkė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IlonaMakevič</w:t>
      </w:r>
      <w:proofErr w:type="spellEnd"/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           2021-01-20</w:t>
      </w:r>
    </w:p>
    <w:p w:rsidR="00D57ADE" w:rsidRPr="00D57ADE" w:rsidRDefault="00D57ADE" w:rsidP="00D57ADE">
      <w:pPr>
        <w:tabs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11. Įvertinimas, jo pagrindimas ir siūlymai: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______________________            _________               ________________         __________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 xml:space="preserve">(valstybinės </w:t>
      </w:r>
      <w:r w:rsidRPr="00D57ADE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švietimo įstaigos savininko          </w:t>
      </w: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(parašas)                        (vardas ir pavardė)                       (data)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>teises ir pareigas įgyvendinančios institucijos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(dalyvių susirinkimo) įgalioto asmens </w:t>
      </w: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pareigos;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savivaldybės švietimo įstaigos atveju – meras)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</w:p>
    <w:p w:rsidR="00D57ADE" w:rsidRPr="00D57ADE" w:rsidRDefault="00D57ADE" w:rsidP="00D57ADE">
      <w:pPr>
        <w:tabs>
          <w:tab w:val="left" w:pos="6237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57AD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Galutinis metų veiklos ataskaitos įvertinimas ______________________.</w:t>
      </w:r>
    </w:p>
    <w:p w:rsidR="00D57ADE" w:rsidRPr="00D57ADE" w:rsidRDefault="00D57ADE" w:rsidP="00D57ADE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</w:p>
    <w:p w:rsidR="00D57ADE" w:rsidRPr="00D57ADE" w:rsidRDefault="00D57ADE" w:rsidP="00D57ADE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Susipažinau.</w:t>
      </w:r>
    </w:p>
    <w:p w:rsidR="00D57ADE" w:rsidRPr="00D57ADE" w:rsidRDefault="00D57ADE" w:rsidP="00D57ADE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</w:p>
    <w:p w:rsidR="00FC1BE4" w:rsidRDefault="00D57ADE" w:rsidP="006E216D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Direktorė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  <w:t xml:space="preserve">                                                                           </w:t>
      </w:r>
      <w:r w:rsidR="000D5682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Regina </w:t>
      </w:r>
      <w:proofErr w:type="spellStart"/>
      <w:r w:rsidR="000D5682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Kutyš</w:t>
      </w:r>
      <w:proofErr w:type="spellEnd"/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   2021-02-</w:t>
      </w:r>
    </w:p>
    <w:sectPr w:rsidR="00FC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1010"/>
    <w:multiLevelType w:val="multilevel"/>
    <w:tmpl w:val="3F307C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1">
    <w:nsid w:val="6BBE3167"/>
    <w:multiLevelType w:val="hybridMultilevel"/>
    <w:tmpl w:val="636C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E4"/>
    <w:rsid w:val="000025B7"/>
    <w:rsid w:val="0001381A"/>
    <w:rsid w:val="0002420C"/>
    <w:rsid w:val="00024D2E"/>
    <w:rsid w:val="0005332F"/>
    <w:rsid w:val="00064B9A"/>
    <w:rsid w:val="00084154"/>
    <w:rsid w:val="000920FF"/>
    <w:rsid w:val="00092651"/>
    <w:rsid w:val="000A2953"/>
    <w:rsid w:val="000D211E"/>
    <w:rsid w:val="000D5682"/>
    <w:rsid w:val="00114826"/>
    <w:rsid w:val="00161B43"/>
    <w:rsid w:val="00171FD4"/>
    <w:rsid w:val="00183380"/>
    <w:rsid w:val="001A5E07"/>
    <w:rsid w:val="001C4A59"/>
    <w:rsid w:val="001D0D27"/>
    <w:rsid w:val="001D2504"/>
    <w:rsid w:val="001E4598"/>
    <w:rsid w:val="001F12A0"/>
    <w:rsid w:val="001F2767"/>
    <w:rsid w:val="001F2D30"/>
    <w:rsid w:val="002171A9"/>
    <w:rsid w:val="00227410"/>
    <w:rsid w:val="00232B72"/>
    <w:rsid w:val="002549D1"/>
    <w:rsid w:val="00255F68"/>
    <w:rsid w:val="002B20BE"/>
    <w:rsid w:val="002B36D9"/>
    <w:rsid w:val="002B5469"/>
    <w:rsid w:val="002C0CBF"/>
    <w:rsid w:val="002E143B"/>
    <w:rsid w:val="002E54A8"/>
    <w:rsid w:val="00301E95"/>
    <w:rsid w:val="003128FE"/>
    <w:rsid w:val="00312AB5"/>
    <w:rsid w:val="00313B4B"/>
    <w:rsid w:val="00325637"/>
    <w:rsid w:val="00346C8D"/>
    <w:rsid w:val="003607F7"/>
    <w:rsid w:val="00370073"/>
    <w:rsid w:val="00380F44"/>
    <w:rsid w:val="00393E73"/>
    <w:rsid w:val="003A4BA1"/>
    <w:rsid w:val="003B2C41"/>
    <w:rsid w:val="003D5E52"/>
    <w:rsid w:val="003E3A64"/>
    <w:rsid w:val="00412E3C"/>
    <w:rsid w:val="00422565"/>
    <w:rsid w:val="00451762"/>
    <w:rsid w:val="00453A11"/>
    <w:rsid w:val="004713DC"/>
    <w:rsid w:val="004750EB"/>
    <w:rsid w:val="00492814"/>
    <w:rsid w:val="004959BC"/>
    <w:rsid w:val="004A7D6D"/>
    <w:rsid w:val="0050049B"/>
    <w:rsid w:val="005102BA"/>
    <w:rsid w:val="005121D6"/>
    <w:rsid w:val="00532DE8"/>
    <w:rsid w:val="00544282"/>
    <w:rsid w:val="00557AAC"/>
    <w:rsid w:val="00562E78"/>
    <w:rsid w:val="00577346"/>
    <w:rsid w:val="00593FE0"/>
    <w:rsid w:val="005958E5"/>
    <w:rsid w:val="005B54C7"/>
    <w:rsid w:val="005E0D20"/>
    <w:rsid w:val="00601AD4"/>
    <w:rsid w:val="00617195"/>
    <w:rsid w:val="00623823"/>
    <w:rsid w:val="00633D3B"/>
    <w:rsid w:val="00642081"/>
    <w:rsid w:val="00655FAC"/>
    <w:rsid w:val="00660235"/>
    <w:rsid w:val="00665956"/>
    <w:rsid w:val="00680153"/>
    <w:rsid w:val="00681545"/>
    <w:rsid w:val="00694BBC"/>
    <w:rsid w:val="006A2879"/>
    <w:rsid w:val="006A3AE0"/>
    <w:rsid w:val="006A4C5E"/>
    <w:rsid w:val="006A712F"/>
    <w:rsid w:val="006B2A1E"/>
    <w:rsid w:val="006C450D"/>
    <w:rsid w:val="006C7C40"/>
    <w:rsid w:val="006E216D"/>
    <w:rsid w:val="006F3484"/>
    <w:rsid w:val="007073A2"/>
    <w:rsid w:val="00712A99"/>
    <w:rsid w:val="00714991"/>
    <w:rsid w:val="007408F5"/>
    <w:rsid w:val="0074237C"/>
    <w:rsid w:val="00742892"/>
    <w:rsid w:val="0074345A"/>
    <w:rsid w:val="00755F54"/>
    <w:rsid w:val="007918F3"/>
    <w:rsid w:val="007B0052"/>
    <w:rsid w:val="007C26BA"/>
    <w:rsid w:val="007E0510"/>
    <w:rsid w:val="007E1F04"/>
    <w:rsid w:val="007E5E35"/>
    <w:rsid w:val="007F5CC0"/>
    <w:rsid w:val="0081003A"/>
    <w:rsid w:val="00812203"/>
    <w:rsid w:val="00836D4A"/>
    <w:rsid w:val="00861458"/>
    <w:rsid w:val="00867920"/>
    <w:rsid w:val="00893AF7"/>
    <w:rsid w:val="008C2FA0"/>
    <w:rsid w:val="008C71BD"/>
    <w:rsid w:val="008D6920"/>
    <w:rsid w:val="00912485"/>
    <w:rsid w:val="00914E34"/>
    <w:rsid w:val="00916A45"/>
    <w:rsid w:val="0092798A"/>
    <w:rsid w:val="00936614"/>
    <w:rsid w:val="0094092A"/>
    <w:rsid w:val="00997F4D"/>
    <w:rsid w:val="009C46A7"/>
    <w:rsid w:val="009E7BEC"/>
    <w:rsid w:val="00A24E28"/>
    <w:rsid w:val="00A45E6D"/>
    <w:rsid w:val="00A82CDB"/>
    <w:rsid w:val="00AB793B"/>
    <w:rsid w:val="00AD3EEE"/>
    <w:rsid w:val="00AD4E35"/>
    <w:rsid w:val="00AE55A7"/>
    <w:rsid w:val="00AE5B3E"/>
    <w:rsid w:val="00AF7B74"/>
    <w:rsid w:val="00B32515"/>
    <w:rsid w:val="00B42662"/>
    <w:rsid w:val="00B44F32"/>
    <w:rsid w:val="00B53FDC"/>
    <w:rsid w:val="00B65DE8"/>
    <w:rsid w:val="00B66481"/>
    <w:rsid w:val="00B72032"/>
    <w:rsid w:val="00B920D6"/>
    <w:rsid w:val="00BB0F76"/>
    <w:rsid w:val="00BB4CD5"/>
    <w:rsid w:val="00BC2D37"/>
    <w:rsid w:val="00BE307F"/>
    <w:rsid w:val="00C20234"/>
    <w:rsid w:val="00C2462F"/>
    <w:rsid w:val="00C357E1"/>
    <w:rsid w:val="00C36FC7"/>
    <w:rsid w:val="00C5157A"/>
    <w:rsid w:val="00C64C95"/>
    <w:rsid w:val="00C907CF"/>
    <w:rsid w:val="00C94B98"/>
    <w:rsid w:val="00CA2F2A"/>
    <w:rsid w:val="00CF1B47"/>
    <w:rsid w:val="00D05862"/>
    <w:rsid w:val="00D17794"/>
    <w:rsid w:val="00D239A1"/>
    <w:rsid w:val="00D316C3"/>
    <w:rsid w:val="00D31C7D"/>
    <w:rsid w:val="00D437F9"/>
    <w:rsid w:val="00D57ADE"/>
    <w:rsid w:val="00DA5653"/>
    <w:rsid w:val="00DB2A38"/>
    <w:rsid w:val="00DB5730"/>
    <w:rsid w:val="00DE1FC2"/>
    <w:rsid w:val="00DF349B"/>
    <w:rsid w:val="00DF574D"/>
    <w:rsid w:val="00E00B12"/>
    <w:rsid w:val="00E04382"/>
    <w:rsid w:val="00E45656"/>
    <w:rsid w:val="00E603CF"/>
    <w:rsid w:val="00E86E70"/>
    <w:rsid w:val="00E90807"/>
    <w:rsid w:val="00EC7D48"/>
    <w:rsid w:val="00F0534E"/>
    <w:rsid w:val="00F06ED3"/>
    <w:rsid w:val="00F17A95"/>
    <w:rsid w:val="00F87391"/>
    <w:rsid w:val="00FB2571"/>
    <w:rsid w:val="00FC1BE4"/>
    <w:rsid w:val="00FC62A6"/>
    <w:rsid w:val="00FD295E"/>
    <w:rsid w:val="00FD2C89"/>
    <w:rsid w:val="00FD37D7"/>
    <w:rsid w:val="00FF2938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BE4"/>
    <w:pPr>
      <w:spacing w:after="0" w:line="240" w:lineRule="auto"/>
    </w:pPr>
  </w:style>
  <w:style w:type="character" w:customStyle="1" w:styleId="apple-converted-space">
    <w:name w:val="apple-converted-space"/>
    <w:rsid w:val="00114826"/>
  </w:style>
  <w:style w:type="paragraph" w:styleId="a5">
    <w:name w:val="List Paragraph"/>
    <w:basedOn w:val="a"/>
    <w:uiPriority w:val="34"/>
    <w:qFormat/>
    <w:rsid w:val="00301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BE4"/>
    <w:pPr>
      <w:spacing w:after="0" w:line="240" w:lineRule="auto"/>
    </w:pPr>
  </w:style>
  <w:style w:type="character" w:customStyle="1" w:styleId="apple-converted-space">
    <w:name w:val="apple-converted-space"/>
    <w:rsid w:val="00114826"/>
  </w:style>
  <w:style w:type="paragraph" w:styleId="a5">
    <w:name w:val="List Paragraph"/>
    <w:basedOn w:val="a"/>
    <w:uiPriority w:val="34"/>
    <w:qFormat/>
    <w:rsid w:val="0030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2478</Words>
  <Characters>14130</Characters>
  <Application>Microsoft Office Word</Application>
  <DocSecurity>0</DocSecurity>
  <Lines>117</Lines>
  <Paragraphs>33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9</cp:revision>
  <cp:lastPrinted>2021-02-24T10:23:00Z</cp:lastPrinted>
  <dcterms:created xsi:type="dcterms:W3CDTF">2021-02-23T11:06:00Z</dcterms:created>
  <dcterms:modified xsi:type="dcterms:W3CDTF">2021-03-08T11:17:00Z</dcterms:modified>
</cp:coreProperties>
</file>